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BE8" w:rsidRPr="007F7899" w:rsidRDefault="001D2012" w:rsidP="007F7899">
      <w:pPr>
        <w:widowControl w:val="0"/>
        <w:spacing w:before="240" w:after="100" w:afterAutospacing="1" w:line="360" w:lineRule="auto"/>
        <w:jc w:val="center"/>
        <w:rPr>
          <w:rFonts w:asciiTheme="majorBidi" w:hAnsiTheme="majorBidi" w:cstheme="majorBidi"/>
          <w:b/>
          <w:bCs/>
          <w:sz w:val="36"/>
          <w:szCs w:val="36"/>
        </w:rPr>
      </w:pPr>
      <w:r w:rsidRPr="007F7899">
        <w:rPr>
          <w:rFonts w:asciiTheme="majorBidi" w:hAnsiTheme="majorBidi" w:cstheme="majorBidi"/>
          <w:b/>
          <w:bCs/>
          <w:sz w:val="36"/>
          <w:szCs w:val="36"/>
        </w:rPr>
        <w:t>Betaglycan as a Potential R</w:t>
      </w:r>
      <w:r w:rsidR="00607E44" w:rsidRPr="007F7899">
        <w:rPr>
          <w:rFonts w:asciiTheme="majorBidi" w:hAnsiTheme="majorBidi" w:cstheme="majorBidi"/>
          <w:b/>
          <w:bCs/>
          <w:sz w:val="36"/>
          <w:szCs w:val="36"/>
        </w:rPr>
        <w:t>egulator of TGF-β1</w:t>
      </w:r>
      <w:r w:rsidR="007F7899" w:rsidRPr="007F7899">
        <w:rPr>
          <w:rFonts w:asciiTheme="majorBidi" w:hAnsiTheme="majorBidi" w:cstheme="majorBidi"/>
          <w:b/>
          <w:bCs/>
          <w:sz w:val="36"/>
          <w:szCs w:val="36"/>
        </w:rPr>
        <w:t xml:space="preserve"> </w:t>
      </w:r>
      <w:proofErr w:type="gramStart"/>
      <w:r w:rsidRPr="007F7899">
        <w:rPr>
          <w:rFonts w:asciiTheme="majorBidi" w:hAnsiTheme="majorBidi" w:cstheme="majorBidi"/>
          <w:b/>
          <w:bCs/>
          <w:sz w:val="36"/>
          <w:szCs w:val="36"/>
        </w:rPr>
        <w:t>Signalling</w:t>
      </w:r>
      <w:proofErr w:type="gramEnd"/>
      <w:r w:rsidRPr="007F7899">
        <w:rPr>
          <w:rFonts w:asciiTheme="majorBidi" w:hAnsiTheme="majorBidi" w:cstheme="majorBidi"/>
          <w:b/>
          <w:bCs/>
          <w:sz w:val="36"/>
          <w:szCs w:val="36"/>
        </w:rPr>
        <w:t xml:space="preserve"> in the K</w:t>
      </w:r>
      <w:r w:rsidR="00607E44" w:rsidRPr="007F7899">
        <w:rPr>
          <w:rFonts w:asciiTheme="majorBidi" w:hAnsiTheme="majorBidi" w:cstheme="majorBidi"/>
          <w:b/>
          <w:bCs/>
          <w:sz w:val="36"/>
          <w:szCs w:val="36"/>
        </w:rPr>
        <w:t>idney</w:t>
      </w:r>
    </w:p>
    <w:p w:rsidR="0098642B" w:rsidRPr="00AB0A80" w:rsidRDefault="00EE7FEC" w:rsidP="007F7899">
      <w:pPr>
        <w:widowControl w:val="0"/>
        <w:spacing w:before="100" w:beforeAutospacing="1" w:after="100" w:afterAutospacing="1" w:line="360" w:lineRule="auto"/>
        <w:jc w:val="center"/>
        <w:rPr>
          <w:rFonts w:asciiTheme="majorBidi" w:hAnsiTheme="majorBidi" w:cstheme="majorBidi"/>
          <w:sz w:val="28"/>
          <w:szCs w:val="28"/>
        </w:rPr>
      </w:pPr>
      <w:r w:rsidRPr="00AB0A80">
        <w:rPr>
          <w:rFonts w:asciiTheme="majorBidi" w:hAnsiTheme="majorBidi" w:cstheme="majorBidi"/>
          <w:sz w:val="28"/>
          <w:szCs w:val="28"/>
        </w:rPr>
        <w:t>Dr. Mohamed Al-helfaw</w:t>
      </w:r>
      <w:r w:rsidR="00467BA1" w:rsidRPr="00AB0A80">
        <w:rPr>
          <w:rFonts w:asciiTheme="majorBidi" w:hAnsiTheme="majorBidi" w:cstheme="majorBidi"/>
          <w:sz w:val="28"/>
          <w:szCs w:val="28"/>
          <w:vertAlign w:val="superscript"/>
        </w:rPr>
        <w:t>a</w:t>
      </w:r>
      <w:r w:rsidR="00467BA1" w:rsidRPr="00AB0A80">
        <w:rPr>
          <w:rFonts w:asciiTheme="majorBidi" w:hAnsiTheme="majorBidi" w:cstheme="majorBidi"/>
          <w:sz w:val="28"/>
          <w:szCs w:val="28"/>
        </w:rPr>
        <w:t>*</w:t>
      </w:r>
      <w:r w:rsidR="007F7899" w:rsidRPr="00AB0A80">
        <w:rPr>
          <w:rFonts w:asciiTheme="majorBidi" w:hAnsiTheme="majorBidi" w:cstheme="majorBidi"/>
          <w:sz w:val="28"/>
          <w:szCs w:val="28"/>
        </w:rPr>
        <w:t xml:space="preserve">, </w:t>
      </w:r>
      <w:r w:rsidR="0098642B" w:rsidRPr="00AB0A80">
        <w:rPr>
          <w:rFonts w:asciiTheme="majorBidi" w:hAnsiTheme="majorBidi" w:cstheme="majorBidi"/>
          <w:sz w:val="28"/>
          <w:szCs w:val="28"/>
        </w:rPr>
        <w:t>Prof. Aled Phiillips</w:t>
      </w:r>
      <w:r w:rsidR="00990455" w:rsidRPr="00AB0A80">
        <w:rPr>
          <w:rFonts w:asciiTheme="majorBidi" w:hAnsiTheme="majorBidi" w:cstheme="majorBidi"/>
          <w:sz w:val="28"/>
          <w:szCs w:val="28"/>
          <w:vertAlign w:val="superscript"/>
        </w:rPr>
        <w:t>b</w:t>
      </w:r>
      <w:r w:rsidR="007F7899" w:rsidRPr="00AB0A80">
        <w:rPr>
          <w:rFonts w:asciiTheme="majorBidi" w:hAnsiTheme="majorBidi" w:cstheme="majorBidi"/>
          <w:sz w:val="28"/>
          <w:szCs w:val="28"/>
        </w:rPr>
        <w:t xml:space="preserve">, </w:t>
      </w:r>
      <w:r w:rsidR="000D05E4" w:rsidRPr="00AB0A80">
        <w:rPr>
          <w:rFonts w:asciiTheme="majorBidi" w:hAnsiTheme="majorBidi" w:cstheme="majorBidi"/>
          <w:sz w:val="28"/>
          <w:szCs w:val="28"/>
        </w:rPr>
        <w:t>Dr. Robert Steadman</w:t>
      </w:r>
      <w:r w:rsidR="00990455" w:rsidRPr="00AB0A80">
        <w:rPr>
          <w:rFonts w:asciiTheme="majorBidi" w:hAnsiTheme="majorBidi" w:cstheme="majorBidi"/>
          <w:sz w:val="28"/>
          <w:szCs w:val="28"/>
          <w:vertAlign w:val="superscript"/>
        </w:rPr>
        <w:t>c</w:t>
      </w:r>
    </w:p>
    <w:p w:rsidR="00EE7FEC" w:rsidRPr="007F7899" w:rsidRDefault="00212298" w:rsidP="00AB0A80">
      <w:pPr>
        <w:widowControl w:val="0"/>
        <w:spacing w:after="0" w:line="360" w:lineRule="auto"/>
        <w:jc w:val="center"/>
        <w:rPr>
          <w:rFonts w:asciiTheme="majorBidi" w:hAnsiTheme="majorBidi" w:cstheme="majorBidi"/>
          <w:i/>
          <w:iCs/>
          <w:sz w:val="20"/>
          <w:szCs w:val="20"/>
        </w:rPr>
      </w:pPr>
      <w:r w:rsidRPr="007F7899">
        <w:rPr>
          <w:rFonts w:asciiTheme="majorBidi" w:hAnsiTheme="majorBidi" w:cstheme="majorBidi"/>
          <w:i/>
          <w:iCs/>
          <w:sz w:val="20"/>
          <w:szCs w:val="20"/>
        </w:rPr>
        <w:t>.</w:t>
      </w:r>
      <w:r w:rsidR="00AB0A80">
        <w:rPr>
          <w:rFonts w:asciiTheme="majorBidi" w:hAnsiTheme="majorBidi" w:cstheme="majorBidi"/>
          <w:i/>
          <w:iCs/>
          <w:sz w:val="20"/>
          <w:szCs w:val="20"/>
          <w:vertAlign w:val="superscript"/>
        </w:rPr>
        <w:t>a</w:t>
      </w:r>
      <w:proofErr w:type="gramStart"/>
      <w:r w:rsidR="00AB0A80">
        <w:rPr>
          <w:rFonts w:asciiTheme="majorBidi" w:hAnsiTheme="majorBidi" w:cstheme="majorBidi"/>
          <w:i/>
          <w:iCs/>
          <w:sz w:val="20"/>
          <w:szCs w:val="20"/>
          <w:vertAlign w:val="superscript"/>
        </w:rPr>
        <w:t>,b,c</w:t>
      </w:r>
      <w:r w:rsidR="00EE7FEC" w:rsidRPr="007F7899">
        <w:rPr>
          <w:rFonts w:asciiTheme="majorBidi" w:hAnsiTheme="majorBidi" w:cstheme="majorBidi"/>
          <w:i/>
          <w:iCs/>
          <w:sz w:val="20"/>
          <w:szCs w:val="20"/>
        </w:rPr>
        <w:t>Institute</w:t>
      </w:r>
      <w:proofErr w:type="gramEnd"/>
      <w:r w:rsidR="00EE7FEC" w:rsidRPr="007F7899">
        <w:rPr>
          <w:rFonts w:asciiTheme="majorBidi" w:hAnsiTheme="majorBidi" w:cstheme="majorBidi"/>
          <w:i/>
          <w:iCs/>
          <w:sz w:val="20"/>
          <w:szCs w:val="20"/>
        </w:rPr>
        <w:t xml:space="preserve"> of Nephrology</w:t>
      </w:r>
      <w:r w:rsidR="004A36CC" w:rsidRPr="007F7899">
        <w:rPr>
          <w:rFonts w:asciiTheme="majorBidi" w:hAnsiTheme="majorBidi" w:cstheme="majorBidi"/>
          <w:i/>
          <w:iCs/>
          <w:sz w:val="20"/>
          <w:szCs w:val="20"/>
        </w:rPr>
        <w:t>.</w:t>
      </w:r>
      <w:r w:rsidR="00EE7FEC" w:rsidRPr="007F7899">
        <w:rPr>
          <w:rFonts w:asciiTheme="majorBidi" w:hAnsiTheme="majorBidi" w:cstheme="majorBidi"/>
          <w:i/>
          <w:iCs/>
          <w:sz w:val="20"/>
          <w:szCs w:val="20"/>
        </w:rPr>
        <w:t xml:space="preserve"> </w:t>
      </w:r>
      <w:proofErr w:type="gramStart"/>
      <w:r w:rsidR="00EE7FEC" w:rsidRPr="007F7899">
        <w:rPr>
          <w:rFonts w:asciiTheme="majorBidi" w:hAnsiTheme="majorBidi" w:cstheme="majorBidi"/>
          <w:i/>
          <w:iCs/>
          <w:sz w:val="20"/>
          <w:szCs w:val="20"/>
        </w:rPr>
        <w:t>School of Medicine</w:t>
      </w:r>
      <w:r w:rsidRPr="007F7899">
        <w:rPr>
          <w:rFonts w:asciiTheme="majorBidi" w:hAnsiTheme="majorBidi" w:cstheme="majorBidi"/>
          <w:i/>
          <w:iCs/>
          <w:sz w:val="20"/>
          <w:szCs w:val="20"/>
        </w:rPr>
        <w:t>.</w:t>
      </w:r>
      <w:proofErr w:type="gramEnd"/>
      <w:r w:rsidR="00EE7FEC" w:rsidRPr="007F7899">
        <w:rPr>
          <w:rFonts w:asciiTheme="majorBidi" w:hAnsiTheme="majorBidi" w:cstheme="majorBidi"/>
          <w:i/>
          <w:iCs/>
          <w:sz w:val="20"/>
          <w:szCs w:val="20"/>
        </w:rPr>
        <w:t xml:space="preserve"> </w:t>
      </w:r>
      <w:proofErr w:type="gramStart"/>
      <w:r w:rsidR="00EE7FEC" w:rsidRPr="007F7899">
        <w:rPr>
          <w:rFonts w:asciiTheme="majorBidi" w:hAnsiTheme="majorBidi" w:cstheme="majorBidi"/>
          <w:i/>
          <w:iCs/>
          <w:sz w:val="20"/>
          <w:szCs w:val="20"/>
        </w:rPr>
        <w:t>Cardiff University</w:t>
      </w:r>
      <w:r w:rsidR="004A36CC" w:rsidRPr="007F7899">
        <w:rPr>
          <w:rFonts w:asciiTheme="majorBidi" w:hAnsiTheme="majorBidi" w:cstheme="majorBidi"/>
          <w:i/>
          <w:iCs/>
          <w:sz w:val="20"/>
          <w:szCs w:val="20"/>
        </w:rPr>
        <w:t>.</w:t>
      </w:r>
      <w:proofErr w:type="gramEnd"/>
      <w:r w:rsidR="00EE7FEC" w:rsidRPr="007F7899">
        <w:rPr>
          <w:rFonts w:asciiTheme="majorBidi" w:hAnsiTheme="majorBidi" w:cstheme="majorBidi"/>
          <w:i/>
          <w:iCs/>
          <w:sz w:val="20"/>
          <w:szCs w:val="20"/>
        </w:rPr>
        <w:t xml:space="preserve"> </w:t>
      </w:r>
      <w:proofErr w:type="gramStart"/>
      <w:r w:rsidR="00EE7FEC" w:rsidRPr="007F7899">
        <w:rPr>
          <w:rFonts w:asciiTheme="majorBidi" w:hAnsiTheme="majorBidi" w:cstheme="majorBidi"/>
          <w:i/>
          <w:iCs/>
          <w:sz w:val="20"/>
          <w:szCs w:val="20"/>
        </w:rPr>
        <w:t>Heath Park</w:t>
      </w:r>
      <w:r w:rsidR="0032686B" w:rsidRPr="007F7899">
        <w:rPr>
          <w:rFonts w:asciiTheme="majorBidi" w:hAnsiTheme="majorBidi" w:cstheme="majorBidi"/>
          <w:i/>
          <w:iCs/>
          <w:sz w:val="20"/>
          <w:szCs w:val="20"/>
        </w:rPr>
        <w:t xml:space="preserve"> </w:t>
      </w:r>
      <w:r w:rsidR="00EE7FEC" w:rsidRPr="007F7899">
        <w:rPr>
          <w:rFonts w:asciiTheme="majorBidi" w:hAnsiTheme="majorBidi" w:cstheme="majorBidi"/>
          <w:i/>
          <w:iCs/>
          <w:sz w:val="20"/>
          <w:szCs w:val="20"/>
        </w:rPr>
        <w:t>Cardiff</w:t>
      </w:r>
      <w:r w:rsidRPr="007F7899">
        <w:rPr>
          <w:rFonts w:asciiTheme="majorBidi" w:hAnsiTheme="majorBidi" w:cstheme="majorBidi"/>
          <w:i/>
          <w:iCs/>
          <w:sz w:val="20"/>
          <w:szCs w:val="20"/>
        </w:rPr>
        <w:t>.</w:t>
      </w:r>
      <w:proofErr w:type="gramEnd"/>
      <w:r w:rsidR="00EE7FEC" w:rsidRPr="007F7899">
        <w:rPr>
          <w:rFonts w:asciiTheme="majorBidi" w:hAnsiTheme="majorBidi" w:cstheme="majorBidi"/>
          <w:i/>
          <w:iCs/>
          <w:sz w:val="20"/>
          <w:szCs w:val="20"/>
        </w:rPr>
        <w:t xml:space="preserve"> CF14 4XN</w:t>
      </w:r>
    </w:p>
    <w:p w:rsidR="000D05E4" w:rsidRPr="007F7899" w:rsidRDefault="00BA19AD" w:rsidP="00AB0A80">
      <w:pPr>
        <w:widowControl w:val="0"/>
        <w:spacing w:after="0" w:line="360" w:lineRule="auto"/>
        <w:jc w:val="center"/>
        <w:rPr>
          <w:rFonts w:asciiTheme="majorBidi" w:hAnsiTheme="majorBidi" w:cstheme="majorBidi"/>
          <w:i/>
          <w:iCs/>
          <w:sz w:val="20"/>
          <w:szCs w:val="20"/>
        </w:rPr>
      </w:pPr>
      <w:proofErr w:type="gramStart"/>
      <w:r w:rsidRPr="007F7899">
        <w:rPr>
          <w:rFonts w:asciiTheme="majorBidi" w:hAnsiTheme="majorBidi" w:cstheme="majorBidi"/>
          <w:i/>
          <w:iCs/>
          <w:sz w:val="20"/>
          <w:szCs w:val="20"/>
          <w:vertAlign w:val="superscript"/>
        </w:rPr>
        <w:t>a</w:t>
      </w:r>
      <w:r w:rsidR="00AB0A80">
        <w:rPr>
          <w:rFonts w:asciiTheme="majorBidi" w:hAnsiTheme="majorBidi" w:cstheme="majorBidi"/>
          <w:i/>
          <w:iCs/>
          <w:sz w:val="20"/>
          <w:szCs w:val="20"/>
        </w:rPr>
        <w:t>Email</w:t>
      </w:r>
      <w:proofErr w:type="gramEnd"/>
      <w:r w:rsidR="00212298" w:rsidRPr="007F7899">
        <w:rPr>
          <w:rFonts w:asciiTheme="majorBidi" w:hAnsiTheme="majorBidi" w:cstheme="majorBidi"/>
          <w:i/>
          <w:iCs/>
          <w:sz w:val="20"/>
          <w:szCs w:val="20"/>
        </w:rPr>
        <w:t xml:space="preserve">: </w:t>
      </w:r>
      <w:r w:rsidR="00AB0A80" w:rsidRPr="00AB0A80">
        <w:rPr>
          <w:rFonts w:asciiTheme="majorBidi" w:hAnsiTheme="majorBidi" w:cstheme="majorBidi"/>
          <w:i/>
          <w:iCs/>
          <w:sz w:val="20"/>
          <w:szCs w:val="20"/>
        </w:rPr>
        <w:t>helfawi_65@yahoo.com</w:t>
      </w:r>
      <w:r w:rsidR="00AB0A80">
        <w:rPr>
          <w:rFonts w:asciiTheme="majorBidi" w:hAnsiTheme="majorBidi" w:cstheme="majorBidi"/>
          <w:i/>
          <w:iCs/>
          <w:sz w:val="20"/>
          <w:szCs w:val="20"/>
        </w:rPr>
        <w:t xml:space="preserve">, </w:t>
      </w:r>
      <w:r w:rsidR="000D40EA" w:rsidRPr="007F7899">
        <w:rPr>
          <w:rFonts w:asciiTheme="majorBidi" w:hAnsiTheme="majorBidi" w:cstheme="majorBidi"/>
          <w:i/>
          <w:iCs/>
          <w:sz w:val="20"/>
          <w:szCs w:val="20"/>
          <w:vertAlign w:val="superscript"/>
        </w:rPr>
        <w:t>b</w:t>
      </w:r>
      <w:r w:rsidR="000D40EA" w:rsidRPr="007F7899">
        <w:rPr>
          <w:rFonts w:asciiTheme="majorBidi" w:hAnsiTheme="majorBidi" w:cstheme="majorBidi"/>
          <w:i/>
          <w:iCs/>
          <w:sz w:val="20"/>
          <w:szCs w:val="20"/>
        </w:rPr>
        <w:t xml:space="preserve">Email: </w:t>
      </w:r>
      <w:r w:rsidR="00AB0A80" w:rsidRPr="00AB0A80">
        <w:rPr>
          <w:rFonts w:asciiTheme="majorBidi" w:hAnsiTheme="majorBidi" w:cstheme="majorBidi"/>
          <w:i/>
          <w:iCs/>
          <w:sz w:val="20"/>
          <w:szCs w:val="20"/>
        </w:rPr>
        <w:t>phillipsao@cardiff.ac.uk</w:t>
      </w:r>
      <w:r w:rsidR="00AB0A80">
        <w:rPr>
          <w:rFonts w:asciiTheme="majorBidi" w:hAnsiTheme="majorBidi" w:cstheme="majorBidi"/>
          <w:i/>
          <w:iCs/>
          <w:sz w:val="20"/>
          <w:szCs w:val="20"/>
        </w:rPr>
        <w:t xml:space="preserve">, </w:t>
      </w:r>
      <w:r w:rsidR="000D40EA" w:rsidRPr="007F7899">
        <w:rPr>
          <w:rFonts w:asciiTheme="majorBidi" w:hAnsiTheme="majorBidi" w:cstheme="majorBidi"/>
          <w:i/>
          <w:iCs/>
          <w:sz w:val="20"/>
          <w:szCs w:val="20"/>
          <w:vertAlign w:val="superscript"/>
        </w:rPr>
        <w:t>c</w:t>
      </w:r>
      <w:r w:rsidR="000D40EA" w:rsidRPr="007F7899">
        <w:rPr>
          <w:rFonts w:asciiTheme="majorBidi" w:hAnsiTheme="majorBidi" w:cstheme="majorBidi"/>
          <w:i/>
          <w:iCs/>
          <w:sz w:val="20"/>
          <w:szCs w:val="20"/>
        </w:rPr>
        <w:t xml:space="preserve">Email: </w:t>
      </w:r>
      <w:r w:rsidR="000D05E4" w:rsidRPr="007F7899">
        <w:rPr>
          <w:rFonts w:asciiTheme="majorBidi" w:hAnsiTheme="majorBidi" w:cstheme="majorBidi"/>
          <w:i/>
          <w:iCs/>
          <w:sz w:val="20"/>
          <w:szCs w:val="20"/>
        </w:rPr>
        <w:t>steadmanr@cardiff.ac.uk</w:t>
      </w:r>
    </w:p>
    <w:p w:rsidR="00990A16" w:rsidRPr="007F7899" w:rsidRDefault="007F7899" w:rsidP="007F7899">
      <w:pPr>
        <w:widowControl w:val="0"/>
        <w:spacing w:before="100" w:beforeAutospacing="1" w:after="100" w:afterAutospacing="1" w:line="360" w:lineRule="auto"/>
        <w:jc w:val="both"/>
        <w:rPr>
          <w:rFonts w:asciiTheme="majorBidi" w:hAnsiTheme="majorBidi" w:cstheme="majorBidi"/>
          <w:b/>
          <w:bCs/>
          <w:sz w:val="20"/>
          <w:szCs w:val="20"/>
        </w:rPr>
      </w:pPr>
      <w:r>
        <w:rPr>
          <w:rFonts w:asciiTheme="majorBidi" w:hAnsiTheme="majorBidi" w:cstheme="majorBidi"/>
          <w:b/>
          <w:bCs/>
          <w:sz w:val="20"/>
          <w:szCs w:val="20"/>
        </w:rPr>
        <w:t xml:space="preserve">Abstract </w:t>
      </w:r>
    </w:p>
    <w:p w:rsidR="00AD3E5E" w:rsidRPr="007F7899" w:rsidRDefault="00D71576" w:rsidP="00AB0A80">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Before going deeper and deeper to study the kidney and its roles, let’s explain the main </w:t>
      </w:r>
      <w:proofErr w:type="gramStart"/>
      <w:r w:rsidRPr="007F7899">
        <w:rPr>
          <w:rFonts w:asciiTheme="majorBidi" w:hAnsiTheme="majorBidi" w:cstheme="majorBidi"/>
          <w:sz w:val="20"/>
          <w:szCs w:val="20"/>
        </w:rPr>
        <w:t>points that affects</w:t>
      </w:r>
      <w:proofErr w:type="gramEnd"/>
      <w:r w:rsidRPr="007F7899">
        <w:rPr>
          <w:rFonts w:asciiTheme="majorBidi" w:hAnsiTheme="majorBidi" w:cstheme="majorBidi"/>
          <w:sz w:val="20"/>
          <w:szCs w:val="20"/>
        </w:rPr>
        <w:t xml:space="preserve"> mechanisms through which it works. We start with transforming growth factor β1 (TGF-β1), which is a multifunctional growth factor with an important role in development, cell proliferation, matrix deposition, modulation of the, immunity, regulation of embryonic development and cellular differentiation and apo</w:t>
      </w:r>
      <w:r w:rsidR="00AB0A80">
        <w:rPr>
          <w:rFonts w:asciiTheme="majorBidi" w:hAnsiTheme="majorBidi" w:cstheme="majorBidi"/>
          <w:sz w:val="20"/>
          <w:szCs w:val="20"/>
        </w:rPr>
        <w:t xml:space="preserve">ptosis (programmed cell death). </w:t>
      </w:r>
      <w:r w:rsidRPr="007F7899">
        <w:rPr>
          <w:rFonts w:asciiTheme="majorBidi" w:hAnsiTheme="majorBidi" w:cstheme="majorBidi"/>
          <w:sz w:val="20"/>
          <w:szCs w:val="20"/>
        </w:rPr>
        <w:t xml:space="preserve">It is considered as a significant mediator of glomerular and tubulointerstitial pathobiology in chronic kidney </w:t>
      </w:r>
      <w:proofErr w:type="gramStart"/>
      <w:r w:rsidRPr="007F7899">
        <w:rPr>
          <w:rFonts w:asciiTheme="majorBidi" w:hAnsiTheme="majorBidi" w:cstheme="majorBidi"/>
          <w:sz w:val="20"/>
          <w:szCs w:val="20"/>
        </w:rPr>
        <w:t>d</w:t>
      </w:r>
      <w:r w:rsidR="00AE3EBC" w:rsidRPr="007F7899">
        <w:rPr>
          <w:rFonts w:asciiTheme="majorBidi" w:hAnsiTheme="majorBidi" w:cstheme="majorBidi"/>
          <w:sz w:val="20"/>
          <w:szCs w:val="20"/>
        </w:rPr>
        <w:t>iseases[</w:t>
      </w:r>
      <w:proofErr w:type="gramEnd"/>
      <w:r w:rsidR="00AE3EBC" w:rsidRPr="007F7899">
        <w:rPr>
          <w:rFonts w:asciiTheme="majorBidi" w:hAnsiTheme="majorBidi" w:cstheme="majorBidi"/>
          <w:sz w:val="20"/>
          <w:szCs w:val="20"/>
        </w:rPr>
        <w:t xml:space="preserve">1]. </w:t>
      </w:r>
      <w:r w:rsidRPr="007F7899">
        <w:rPr>
          <w:rFonts w:asciiTheme="majorBidi" w:hAnsiTheme="majorBidi" w:cstheme="majorBidi"/>
          <w:sz w:val="20"/>
          <w:szCs w:val="20"/>
        </w:rPr>
        <w:t xml:space="preserve">Over-expression of TGF-β can induce renal fibrosis, causing kidney disease, and ultimately end-stage renal disease (ESRD). Recent developments have found that, using certain types of protein antagonists such as </w:t>
      </w:r>
      <w:proofErr w:type="gramStart"/>
      <w:r w:rsidRPr="007F7899">
        <w:rPr>
          <w:rFonts w:asciiTheme="majorBidi" w:hAnsiTheme="majorBidi" w:cstheme="majorBidi"/>
          <w:sz w:val="20"/>
          <w:szCs w:val="20"/>
        </w:rPr>
        <w:t>a  receptor</w:t>
      </w:r>
      <w:proofErr w:type="gramEnd"/>
      <w:r w:rsidRPr="007F7899">
        <w:rPr>
          <w:rFonts w:asciiTheme="majorBidi" w:hAnsiTheme="majorBidi" w:cstheme="majorBidi"/>
          <w:sz w:val="20"/>
          <w:szCs w:val="20"/>
        </w:rPr>
        <w:t xml:space="preserve"> ligand or drug that does not induce a biological response itself upon binding to a receptor but  </w:t>
      </w:r>
      <w:r w:rsidR="00AD3E5E" w:rsidRPr="007F7899">
        <w:rPr>
          <w:rFonts w:asciiTheme="majorBidi" w:hAnsiTheme="majorBidi" w:cstheme="majorBidi"/>
          <w:sz w:val="20"/>
          <w:szCs w:val="20"/>
        </w:rPr>
        <w:t>sequential activation of two serine/threonine kinase receptors, the type I and type II receptors.  A third receptor, betaglycan serves as a co-receptor for TGF-β1.</w:t>
      </w:r>
      <w:r w:rsidR="007F7899">
        <w:rPr>
          <w:rFonts w:asciiTheme="majorBidi" w:hAnsiTheme="majorBidi" w:cstheme="majorBidi"/>
          <w:sz w:val="20"/>
          <w:szCs w:val="20"/>
        </w:rPr>
        <w:t xml:space="preserve"> </w:t>
      </w:r>
      <w:r w:rsidR="00AD3E5E" w:rsidRPr="007F7899">
        <w:rPr>
          <w:rFonts w:asciiTheme="majorBidi" w:hAnsiTheme="majorBidi" w:cstheme="majorBidi"/>
          <w:sz w:val="20"/>
          <w:szCs w:val="20"/>
        </w:rPr>
        <w:t>Recent reports indicate that membrane anchored betaglycan may play an inhibitory role in TGF-β1 signalling. This inhibitory role of betaglycan is a function of the heparan sulphate composition of the betaglycan glyc</w:t>
      </w:r>
      <w:r w:rsidR="00DE1A2F" w:rsidRPr="007F7899">
        <w:rPr>
          <w:rFonts w:asciiTheme="majorBidi" w:hAnsiTheme="majorBidi" w:cstheme="majorBidi"/>
          <w:sz w:val="20"/>
          <w:szCs w:val="20"/>
        </w:rPr>
        <w:t>osaminoglycan</w:t>
      </w:r>
      <w:r w:rsidR="000828CF" w:rsidRPr="007F7899">
        <w:rPr>
          <w:rFonts w:asciiTheme="majorBidi" w:hAnsiTheme="majorBidi" w:cstheme="majorBidi"/>
          <w:sz w:val="20"/>
          <w:szCs w:val="20"/>
        </w:rPr>
        <w:t xml:space="preserve"> [2</w:t>
      </w:r>
      <w:r w:rsidR="00DE1A2F" w:rsidRPr="007F7899">
        <w:rPr>
          <w:rFonts w:asciiTheme="majorBidi" w:hAnsiTheme="majorBidi" w:cstheme="majorBidi"/>
          <w:sz w:val="20"/>
          <w:szCs w:val="20"/>
        </w:rPr>
        <w:t>]</w:t>
      </w:r>
      <w:r w:rsidR="00AD3E5E" w:rsidRPr="007F7899">
        <w:rPr>
          <w:rFonts w:asciiTheme="majorBidi" w:hAnsiTheme="majorBidi" w:cstheme="majorBidi"/>
          <w:sz w:val="20"/>
          <w:szCs w:val="20"/>
        </w:rPr>
        <w:t>.</w:t>
      </w:r>
      <w:r w:rsidR="00502025" w:rsidRPr="007F7899">
        <w:rPr>
          <w:rFonts w:asciiTheme="majorBidi" w:hAnsiTheme="majorBidi" w:cstheme="majorBidi"/>
          <w:sz w:val="20"/>
          <w:szCs w:val="20"/>
        </w:rPr>
        <w:t xml:space="preserve"> </w:t>
      </w:r>
      <w:r w:rsidR="00AD3E5E" w:rsidRPr="007F7899">
        <w:rPr>
          <w:rFonts w:asciiTheme="majorBidi" w:hAnsiTheme="majorBidi" w:cstheme="majorBidi"/>
          <w:sz w:val="20"/>
          <w:szCs w:val="20"/>
        </w:rPr>
        <w:t>We can say that, the expression of betaglycan and its augmentation by cytokines treatment in</w:t>
      </w:r>
      <w:r w:rsidR="00AB0A80">
        <w:rPr>
          <w:rFonts w:asciiTheme="majorBidi" w:hAnsiTheme="majorBidi" w:cstheme="majorBidi"/>
          <w:sz w:val="20"/>
          <w:szCs w:val="20"/>
        </w:rPr>
        <w:t xml:space="preserve"> HK2 cells has been described. </w:t>
      </w:r>
      <w:r w:rsidR="00AD3E5E" w:rsidRPr="007F7899">
        <w:rPr>
          <w:rFonts w:asciiTheme="majorBidi" w:hAnsiTheme="majorBidi" w:cstheme="majorBidi"/>
          <w:sz w:val="20"/>
          <w:szCs w:val="20"/>
        </w:rPr>
        <w:t xml:space="preserve">By concentrating on TGF-β activity, it is shown that knock-down by siRNA and inhibition of glycoslation </w:t>
      </w:r>
      <w:proofErr w:type="gramStart"/>
      <w:r w:rsidR="00AD3E5E" w:rsidRPr="007F7899">
        <w:rPr>
          <w:rFonts w:asciiTheme="majorBidi" w:hAnsiTheme="majorBidi" w:cstheme="majorBidi"/>
          <w:sz w:val="20"/>
          <w:szCs w:val="20"/>
        </w:rPr>
        <w:t>of  betaglycan</w:t>
      </w:r>
      <w:proofErr w:type="gramEnd"/>
      <w:r w:rsidR="00AD3E5E" w:rsidRPr="007F7899">
        <w:rPr>
          <w:rFonts w:asciiTheme="majorBidi" w:hAnsiTheme="majorBidi" w:cstheme="majorBidi"/>
          <w:sz w:val="20"/>
          <w:szCs w:val="20"/>
        </w:rPr>
        <w:t xml:space="preserve"> antagonize signalling by TGF-β end production of EMT.  This work suggests that betaglycan could be a major mediator of PTC activation in vivo.</w:t>
      </w:r>
      <w:r w:rsidR="00011EED" w:rsidRPr="007F7899">
        <w:rPr>
          <w:rFonts w:asciiTheme="majorBidi" w:hAnsiTheme="majorBidi" w:cstheme="majorBidi"/>
          <w:sz w:val="20"/>
          <w:szCs w:val="20"/>
        </w:rPr>
        <w:t xml:space="preserve"> </w:t>
      </w:r>
      <w:proofErr w:type="gramStart"/>
      <w:r w:rsidR="00011EED" w:rsidRPr="007F7899">
        <w:rPr>
          <w:rFonts w:asciiTheme="majorBidi" w:hAnsiTheme="majorBidi" w:cstheme="majorBidi"/>
          <w:sz w:val="20"/>
          <w:szCs w:val="20"/>
        </w:rPr>
        <w:t>blocks  reverse</w:t>
      </w:r>
      <w:proofErr w:type="gramEnd"/>
      <w:r w:rsidR="00011EED" w:rsidRPr="007F7899">
        <w:rPr>
          <w:rFonts w:asciiTheme="majorBidi" w:hAnsiTheme="majorBidi" w:cstheme="majorBidi"/>
          <w:sz w:val="20"/>
          <w:szCs w:val="20"/>
        </w:rPr>
        <w:t xml:space="preserve"> the effects of renal </w:t>
      </w:r>
      <w:r w:rsidR="00814F34" w:rsidRPr="007F7899">
        <w:rPr>
          <w:rFonts w:asciiTheme="majorBidi" w:hAnsiTheme="majorBidi" w:cstheme="majorBidi"/>
          <w:sz w:val="20"/>
          <w:szCs w:val="20"/>
        </w:rPr>
        <w:t>fibrosis [3].</w:t>
      </w:r>
    </w:p>
    <w:p w:rsidR="00D72925" w:rsidRDefault="007F7899"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b/>
          <w:bCs/>
          <w:i/>
          <w:iCs/>
          <w:sz w:val="20"/>
          <w:szCs w:val="20"/>
        </w:rPr>
        <w:t>Keywords</w:t>
      </w:r>
      <w:r w:rsidR="00DD0818" w:rsidRPr="007F7899">
        <w:rPr>
          <w:rFonts w:asciiTheme="majorBidi" w:hAnsiTheme="majorBidi" w:cstheme="majorBidi"/>
          <w:b/>
          <w:bCs/>
          <w:i/>
          <w:iCs/>
          <w:sz w:val="20"/>
          <w:szCs w:val="20"/>
        </w:rPr>
        <w:t>:</w:t>
      </w:r>
      <w:r>
        <w:rPr>
          <w:rFonts w:asciiTheme="majorBidi" w:hAnsiTheme="majorBidi" w:cstheme="majorBidi"/>
          <w:b/>
          <w:bCs/>
          <w:sz w:val="20"/>
          <w:szCs w:val="20"/>
        </w:rPr>
        <w:t xml:space="preserve"> </w:t>
      </w:r>
      <w:r w:rsidR="00DD0818" w:rsidRPr="007F7899">
        <w:rPr>
          <w:rFonts w:asciiTheme="majorBidi" w:hAnsiTheme="majorBidi" w:cstheme="majorBidi"/>
          <w:sz w:val="20"/>
          <w:szCs w:val="20"/>
        </w:rPr>
        <w:t>α-</w:t>
      </w:r>
      <w:proofErr w:type="gramStart"/>
      <w:r w:rsidR="00DD0818" w:rsidRPr="007F7899">
        <w:rPr>
          <w:rFonts w:asciiTheme="majorBidi" w:hAnsiTheme="majorBidi" w:cstheme="majorBidi"/>
          <w:sz w:val="20"/>
          <w:szCs w:val="20"/>
        </w:rPr>
        <w:t>SMA</w:t>
      </w:r>
      <w:r w:rsidR="00DF279F" w:rsidRPr="007F7899">
        <w:rPr>
          <w:rFonts w:asciiTheme="majorBidi" w:hAnsiTheme="majorBidi" w:cstheme="majorBidi"/>
          <w:sz w:val="20"/>
          <w:szCs w:val="20"/>
        </w:rPr>
        <w:t>;</w:t>
      </w:r>
      <w:proofErr w:type="gramEnd"/>
      <w:r w:rsidR="00DF279F" w:rsidRPr="007F7899">
        <w:rPr>
          <w:rFonts w:asciiTheme="majorBidi" w:hAnsiTheme="majorBidi" w:cstheme="majorBidi"/>
          <w:sz w:val="20"/>
          <w:szCs w:val="20"/>
        </w:rPr>
        <w:t>(</w:t>
      </w:r>
      <w:r w:rsidR="00DD0818" w:rsidRPr="007F7899">
        <w:rPr>
          <w:rFonts w:asciiTheme="majorBidi" w:hAnsiTheme="majorBidi" w:cstheme="majorBidi"/>
          <w:sz w:val="20"/>
          <w:szCs w:val="20"/>
        </w:rPr>
        <w:t>Alpha- Smooth Muscle Actin</w:t>
      </w:r>
      <w:r w:rsidR="00DF279F" w:rsidRPr="007F7899">
        <w:rPr>
          <w:rFonts w:asciiTheme="majorBidi" w:hAnsiTheme="majorBidi" w:cstheme="majorBidi"/>
          <w:sz w:val="20"/>
          <w:szCs w:val="20"/>
        </w:rPr>
        <w:t xml:space="preserve">). </w:t>
      </w:r>
      <w:r w:rsidR="00855BD8" w:rsidRPr="007F7899">
        <w:rPr>
          <w:rFonts w:asciiTheme="majorBidi" w:hAnsiTheme="majorBidi" w:cstheme="majorBidi"/>
          <w:sz w:val="20"/>
          <w:szCs w:val="20"/>
        </w:rPr>
        <w:t xml:space="preserve">DNA; (Deoxyribonucleic Acid). </w:t>
      </w:r>
      <w:proofErr w:type="gramStart"/>
      <w:r w:rsidR="00D72925" w:rsidRPr="007F7899">
        <w:rPr>
          <w:rFonts w:asciiTheme="majorBidi" w:hAnsiTheme="majorBidi" w:cstheme="majorBidi"/>
          <w:sz w:val="20"/>
          <w:szCs w:val="20"/>
        </w:rPr>
        <w:t>ECM; (Extracellular Matrix).</w:t>
      </w:r>
      <w:proofErr w:type="gramEnd"/>
      <w:r w:rsidR="00D72925" w:rsidRPr="007F7899">
        <w:rPr>
          <w:rFonts w:asciiTheme="majorBidi" w:hAnsiTheme="majorBidi" w:cstheme="majorBidi"/>
          <w:sz w:val="20"/>
          <w:szCs w:val="20"/>
        </w:rPr>
        <w:t xml:space="preserve"> </w:t>
      </w:r>
      <w:proofErr w:type="gramStart"/>
      <w:r w:rsidR="00D72925" w:rsidRPr="007F7899">
        <w:rPr>
          <w:rFonts w:asciiTheme="majorBidi" w:hAnsiTheme="majorBidi" w:cstheme="majorBidi"/>
          <w:sz w:val="20"/>
          <w:szCs w:val="20"/>
        </w:rPr>
        <w:t>EMT; (Epithelial-Mesenchymal Transition).</w:t>
      </w:r>
      <w:proofErr w:type="gramEnd"/>
      <w:r w:rsidR="00D72925" w:rsidRPr="007F7899">
        <w:rPr>
          <w:rFonts w:asciiTheme="majorBidi" w:hAnsiTheme="majorBidi" w:cstheme="majorBidi"/>
          <w:sz w:val="20"/>
          <w:szCs w:val="20"/>
        </w:rPr>
        <w:t xml:space="preserve"> </w:t>
      </w:r>
      <w:proofErr w:type="gramStart"/>
      <w:r w:rsidR="00D72925" w:rsidRPr="007F7899">
        <w:rPr>
          <w:rFonts w:asciiTheme="majorBidi" w:hAnsiTheme="majorBidi" w:cstheme="majorBidi"/>
          <w:sz w:val="20"/>
          <w:szCs w:val="20"/>
        </w:rPr>
        <w:t>GAPDH; (Glyceraldehyde-3-phosphate dehydrogenase).</w:t>
      </w:r>
      <w:proofErr w:type="gramEnd"/>
      <w:r w:rsidR="00D72925" w:rsidRPr="007F7899">
        <w:rPr>
          <w:rFonts w:asciiTheme="majorBidi" w:hAnsiTheme="majorBidi" w:cstheme="majorBidi"/>
          <w:sz w:val="20"/>
          <w:szCs w:val="20"/>
        </w:rPr>
        <w:t xml:space="preserve"> </w:t>
      </w:r>
      <w:proofErr w:type="gramStart"/>
      <w:r w:rsidR="00D72925" w:rsidRPr="007F7899">
        <w:rPr>
          <w:rFonts w:asciiTheme="majorBidi" w:hAnsiTheme="majorBidi" w:cstheme="majorBidi"/>
          <w:sz w:val="20"/>
          <w:szCs w:val="20"/>
        </w:rPr>
        <w:t>HK-2 (Human Kidney-2).</w:t>
      </w:r>
      <w:proofErr w:type="gramEnd"/>
      <w:r w:rsidR="00D72925" w:rsidRPr="007F7899">
        <w:rPr>
          <w:rFonts w:asciiTheme="majorBidi" w:hAnsiTheme="majorBidi" w:cstheme="majorBidi"/>
          <w:sz w:val="20"/>
          <w:szCs w:val="20"/>
        </w:rPr>
        <w:t xml:space="preserve"> </w:t>
      </w:r>
      <w:proofErr w:type="gramStart"/>
      <w:r w:rsidR="009579FB" w:rsidRPr="007F7899">
        <w:rPr>
          <w:rFonts w:asciiTheme="majorBidi" w:hAnsiTheme="majorBidi" w:cstheme="majorBidi"/>
          <w:sz w:val="20"/>
          <w:szCs w:val="20"/>
        </w:rPr>
        <w:t>mRNA</w:t>
      </w:r>
      <w:proofErr w:type="gramEnd"/>
      <w:r w:rsidR="009579FB" w:rsidRPr="007F7899">
        <w:rPr>
          <w:rFonts w:asciiTheme="majorBidi" w:hAnsiTheme="majorBidi" w:cstheme="majorBidi"/>
          <w:sz w:val="20"/>
          <w:szCs w:val="20"/>
        </w:rPr>
        <w:t xml:space="preserve">; (Messenger Ribonucleic Acid). PAGE; (Polyacrylamide Gel Electrophoresis). </w:t>
      </w:r>
      <w:proofErr w:type="gramStart"/>
      <w:r w:rsidR="009579FB" w:rsidRPr="007F7899">
        <w:rPr>
          <w:rFonts w:asciiTheme="majorBidi" w:hAnsiTheme="majorBidi" w:cstheme="majorBidi"/>
          <w:sz w:val="20"/>
          <w:szCs w:val="20"/>
        </w:rPr>
        <w:t>PCR; (Polymerase Chain Reaction).</w:t>
      </w:r>
      <w:proofErr w:type="gramEnd"/>
      <w:r w:rsidR="009579FB" w:rsidRPr="007F7899">
        <w:rPr>
          <w:rFonts w:asciiTheme="majorBidi" w:hAnsiTheme="majorBidi" w:cstheme="majorBidi"/>
          <w:sz w:val="20"/>
          <w:szCs w:val="20"/>
        </w:rPr>
        <w:t xml:space="preserve"> </w:t>
      </w:r>
      <w:r w:rsidR="005D250A" w:rsidRPr="007F7899">
        <w:rPr>
          <w:rFonts w:asciiTheme="majorBidi" w:hAnsiTheme="majorBidi" w:cstheme="majorBidi"/>
          <w:sz w:val="20"/>
          <w:szCs w:val="20"/>
        </w:rPr>
        <w:t>P-</w:t>
      </w:r>
      <w:proofErr w:type="gramStart"/>
      <w:r w:rsidR="005D250A" w:rsidRPr="007F7899">
        <w:rPr>
          <w:rFonts w:asciiTheme="majorBidi" w:hAnsiTheme="majorBidi" w:cstheme="majorBidi"/>
          <w:sz w:val="20"/>
          <w:szCs w:val="20"/>
        </w:rPr>
        <w:t>Smad;</w:t>
      </w:r>
      <w:proofErr w:type="gramEnd"/>
      <w:r w:rsidR="005D250A" w:rsidRPr="007F7899">
        <w:rPr>
          <w:rFonts w:asciiTheme="majorBidi" w:hAnsiTheme="majorBidi" w:cstheme="majorBidi"/>
          <w:sz w:val="20"/>
          <w:szCs w:val="20"/>
        </w:rPr>
        <w:t>(Phosphorylated-Smad).</w:t>
      </w:r>
      <w:r w:rsidR="00FF253C" w:rsidRPr="007F7899">
        <w:rPr>
          <w:rFonts w:asciiTheme="majorBidi" w:hAnsiTheme="majorBidi" w:cstheme="majorBidi"/>
          <w:sz w:val="20"/>
          <w:szCs w:val="20"/>
        </w:rPr>
        <w:t xml:space="preserve"> </w:t>
      </w:r>
      <w:r w:rsidR="005D250A" w:rsidRPr="007F7899">
        <w:rPr>
          <w:rFonts w:asciiTheme="majorBidi" w:hAnsiTheme="majorBidi" w:cstheme="majorBidi"/>
          <w:sz w:val="20"/>
          <w:szCs w:val="20"/>
        </w:rPr>
        <w:t xml:space="preserve">Q- PCR; (Quantitative PCR). RNA; (Ribonucleic Acid). RT- PCR; </w:t>
      </w:r>
      <w:proofErr w:type="gramStart"/>
      <w:r w:rsidR="005D250A" w:rsidRPr="007F7899">
        <w:rPr>
          <w:rFonts w:asciiTheme="majorBidi" w:hAnsiTheme="majorBidi" w:cstheme="majorBidi"/>
          <w:sz w:val="20"/>
          <w:szCs w:val="20"/>
        </w:rPr>
        <w:t>( Reverse</w:t>
      </w:r>
      <w:proofErr w:type="gramEnd"/>
      <w:r w:rsidR="005D250A" w:rsidRPr="007F7899">
        <w:rPr>
          <w:rFonts w:asciiTheme="majorBidi" w:hAnsiTheme="majorBidi" w:cstheme="majorBidi"/>
          <w:sz w:val="20"/>
          <w:szCs w:val="20"/>
        </w:rPr>
        <w:t xml:space="preserve"> transcriptase-PCR).</w:t>
      </w:r>
      <w:r w:rsidR="0092458F" w:rsidRPr="007F7899">
        <w:rPr>
          <w:rFonts w:asciiTheme="majorBidi" w:hAnsiTheme="majorBidi" w:cstheme="majorBidi"/>
          <w:sz w:val="20"/>
          <w:szCs w:val="20"/>
        </w:rPr>
        <w:t xml:space="preserve"> </w:t>
      </w:r>
      <w:proofErr w:type="gramStart"/>
      <w:r w:rsidR="0092458F" w:rsidRPr="007F7899">
        <w:rPr>
          <w:rFonts w:asciiTheme="majorBidi" w:hAnsiTheme="majorBidi" w:cstheme="majorBidi"/>
          <w:sz w:val="20"/>
          <w:szCs w:val="20"/>
        </w:rPr>
        <w:t>TGF-β; (Transforming growth factor-Beta)</w:t>
      </w:r>
      <w:r w:rsidR="007C0B34" w:rsidRPr="007F7899">
        <w:rPr>
          <w:rFonts w:asciiTheme="majorBidi" w:hAnsiTheme="majorBidi" w:cstheme="majorBidi"/>
          <w:sz w:val="20"/>
          <w:szCs w:val="20"/>
        </w:rPr>
        <w:t>.</w:t>
      </w:r>
      <w:proofErr w:type="gramEnd"/>
      <w:r w:rsidR="00D72925" w:rsidRPr="007F7899">
        <w:rPr>
          <w:rFonts w:asciiTheme="majorBidi" w:hAnsiTheme="majorBidi" w:cstheme="majorBidi"/>
          <w:sz w:val="20"/>
          <w:szCs w:val="20"/>
        </w:rPr>
        <w:tab/>
      </w:r>
    </w:p>
    <w:p w:rsidR="00AB0A80" w:rsidRPr="004E0547" w:rsidRDefault="00AB0A80" w:rsidP="00AB0A80">
      <w:pPr>
        <w:pStyle w:val="Els-body-text"/>
        <w:keepNext w:val="0"/>
        <w:widowControl w:val="0"/>
        <w:spacing w:line="360" w:lineRule="auto"/>
        <w:ind w:firstLine="0"/>
        <w:rPr>
          <w:rFonts w:asciiTheme="majorBidi" w:hAnsiTheme="majorBidi" w:cstheme="majorBidi"/>
          <w:sz w:val="16"/>
          <w:szCs w:val="16"/>
        </w:rPr>
      </w:pPr>
      <w:r w:rsidRPr="004E0547">
        <w:rPr>
          <w:rFonts w:asciiTheme="majorBidi" w:hAnsiTheme="majorBidi" w:cstheme="majorBidi"/>
          <w:sz w:val="16"/>
          <w:szCs w:val="16"/>
        </w:rPr>
        <w:t>------------------------------------------------------------------------</w:t>
      </w:r>
    </w:p>
    <w:p w:rsidR="00AB0A80" w:rsidRPr="004E0547" w:rsidRDefault="00AB0A80" w:rsidP="00AB0A80">
      <w:pPr>
        <w:pStyle w:val="Els-footnote"/>
        <w:spacing w:line="360" w:lineRule="auto"/>
        <w:ind w:firstLine="0"/>
        <w:rPr>
          <w:rFonts w:asciiTheme="majorBidi" w:hAnsiTheme="majorBidi" w:cstheme="majorBidi"/>
          <w:szCs w:val="16"/>
        </w:rPr>
      </w:pPr>
      <w:r w:rsidRPr="004E0547">
        <w:rPr>
          <w:rFonts w:asciiTheme="majorBidi" w:hAnsiTheme="majorBidi" w:cstheme="majorBidi"/>
          <w:szCs w:val="16"/>
        </w:rPr>
        <w:t xml:space="preserve">* Corresponding author. </w:t>
      </w:r>
    </w:p>
    <w:p w:rsidR="001365ED" w:rsidRPr="007F7899" w:rsidRDefault="007F7899" w:rsidP="007F7899">
      <w:pPr>
        <w:pStyle w:val="ListParagraph"/>
        <w:widowControl w:val="0"/>
        <w:numPr>
          <w:ilvl w:val="0"/>
          <w:numId w:val="4"/>
        </w:numPr>
        <w:spacing w:before="100" w:beforeAutospacing="1" w:after="100" w:afterAutospacing="1" w:line="360" w:lineRule="auto"/>
        <w:ind w:left="180" w:hanging="180"/>
        <w:jc w:val="both"/>
        <w:rPr>
          <w:rFonts w:asciiTheme="majorBidi" w:hAnsiTheme="majorBidi" w:cstheme="majorBidi"/>
          <w:sz w:val="20"/>
          <w:szCs w:val="20"/>
        </w:rPr>
      </w:pPr>
      <w:r w:rsidRPr="007F7899">
        <w:rPr>
          <w:rFonts w:asciiTheme="majorBidi" w:hAnsiTheme="majorBidi" w:cstheme="majorBidi"/>
          <w:b/>
          <w:bCs/>
          <w:sz w:val="20"/>
          <w:szCs w:val="20"/>
        </w:rPr>
        <w:lastRenderedPageBreak/>
        <w:t xml:space="preserve">Introduction </w:t>
      </w:r>
    </w:p>
    <w:p w:rsidR="001365ED" w:rsidRPr="007F7899" w:rsidRDefault="001365ED"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Tubulointerstitial fibrosis is a well-known finding of chronic renal disease, irrespective of the </w:t>
      </w:r>
      <w:r w:rsidR="00513FAF" w:rsidRPr="007F7899">
        <w:rPr>
          <w:rFonts w:asciiTheme="majorBidi" w:hAnsiTheme="majorBidi" w:cstheme="majorBidi"/>
          <w:sz w:val="20"/>
          <w:szCs w:val="20"/>
        </w:rPr>
        <w:t>aetiology</w:t>
      </w:r>
      <w:r w:rsidRPr="007F7899">
        <w:rPr>
          <w:rFonts w:asciiTheme="majorBidi" w:hAnsiTheme="majorBidi" w:cstheme="majorBidi"/>
          <w:sz w:val="20"/>
          <w:szCs w:val="20"/>
        </w:rPr>
        <w:t xml:space="preserve"> of the diseases and is considered as the major lesion of end-stage renal diseases such as glomerulonephritis as a primary inflammation, diabetic nephropathy as a metabolic dysfunction, and cystic nephropathy as structural malformations. The normal interstitium is a complicated structure of collagen, fibronectin, non-collagenous glycoproteins and proteoglycans.  Interstitial fibrosis is characterized by excessive synthesis and accumulation of these and other ECM substances </w:t>
      </w:r>
      <w:r w:rsidR="00631773" w:rsidRPr="007F7899">
        <w:rPr>
          <w:rFonts w:asciiTheme="majorBidi" w:hAnsiTheme="majorBidi" w:cstheme="majorBidi"/>
          <w:sz w:val="20"/>
          <w:szCs w:val="20"/>
        </w:rPr>
        <w:t xml:space="preserve">[4]. </w:t>
      </w:r>
      <w:r w:rsidRPr="007F7899">
        <w:rPr>
          <w:rFonts w:asciiTheme="majorBidi" w:hAnsiTheme="majorBidi" w:cstheme="majorBidi"/>
          <w:sz w:val="20"/>
          <w:szCs w:val="20"/>
        </w:rPr>
        <w:t xml:space="preserve">Thus the intersitium expands causing derangement of tubulointerstitial structure and changes of the normal physiological function and subsequently gradual deterioration of renal function. Progressive loss of renal function is associated with development of </w:t>
      </w:r>
      <w:proofErr w:type="gramStart"/>
      <w:r w:rsidRPr="007F7899">
        <w:rPr>
          <w:rFonts w:asciiTheme="majorBidi" w:hAnsiTheme="majorBidi" w:cstheme="majorBidi"/>
          <w:sz w:val="20"/>
          <w:szCs w:val="20"/>
        </w:rPr>
        <w:t>glomerulosclerosis  and</w:t>
      </w:r>
      <w:proofErr w:type="gramEnd"/>
      <w:r w:rsidRPr="007F7899">
        <w:rPr>
          <w:rFonts w:asciiTheme="majorBidi" w:hAnsiTheme="majorBidi" w:cstheme="majorBidi"/>
          <w:sz w:val="20"/>
          <w:szCs w:val="20"/>
        </w:rPr>
        <w:t xml:space="preserve"> with  interstitial fibrosis as well.  Interstitial fibrosis is characterized by the destruction of renal tubules and interstitial capillaries as well as by the accumulation of extracellular matrix proteins </w:t>
      </w:r>
      <w:r w:rsidR="00415726" w:rsidRPr="007F7899">
        <w:rPr>
          <w:rFonts w:asciiTheme="majorBidi" w:hAnsiTheme="majorBidi" w:cstheme="majorBidi"/>
          <w:sz w:val="20"/>
          <w:szCs w:val="20"/>
        </w:rPr>
        <w:t xml:space="preserve">[5]. </w:t>
      </w:r>
      <w:r w:rsidRPr="007F7899">
        <w:rPr>
          <w:rFonts w:asciiTheme="majorBidi" w:hAnsiTheme="majorBidi" w:cstheme="majorBidi"/>
          <w:sz w:val="20"/>
          <w:szCs w:val="20"/>
        </w:rPr>
        <w:t xml:space="preserve">As inerstitial fibrosis, related to accumulation </w:t>
      </w:r>
      <w:proofErr w:type="gramStart"/>
      <w:r w:rsidRPr="007F7899">
        <w:rPr>
          <w:rFonts w:asciiTheme="majorBidi" w:hAnsiTheme="majorBidi" w:cstheme="majorBidi"/>
          <w:sz w:val="20"/>
          <w:szCs w:val="20"/>
        </w:rPr>
        <w:t>of  ECM</w:t>
      </w:r>
      <w:proofErr w:type="gramEnd"/>
      <w:r w:rsidRPr="007F7899">
        <w:rPr>
          <w:rFonts w:asciiTheme="majorBidi" w:hAnsiTheme="majorBidi" w:cstheme="majorBidi"/>
          <w:sz w:val="20"/>
          <w:szCs w:val="20"/>
        </w:rPr>
        <w:t xml:space="preserve"> , it also related to progression of   renal disease with accumulation of fibroblasts and myofibroblasts which is related to nephron loss and kidney shut down, so considered as a predictor of fibrotic progression </w:t>
      </w:r>
      <w:r w:rsidR="00415726" w:rsidRPr="007F7899">
        <w:rPr>
          <w:rFonts w:asciiTheme="majorBidi" w:hAnsiTheme="majorBidi" w:cstheme="majorBidi"/>
          <w:sz w:val="20"/>
          <w:szCs w:val="20"/>
        </w:rPr>
        <w:t>[</w:t>
      </w:r>
      <w:r w:rsidR="003551BF" w:rsidRPr="007F7899">
        <w:rPr>
          <w:rFonts w:asciiTheme="majorBidi" w:hAnsiTheme="majorBidi" w:cstheme="majorBidi"/>
          <w:sz w:val="20"/>
          <w:szCs w:val="20"/>
        </w:rPr>
        <w:t>6</w:t>
      </w:r>
      <w:r w:rsidR="00415726" w:rsidRPr="007F7899">
        <w:rPr>
          <w:rFonts w:asciiTheme="majorBidi" w:hAnsiTheme="majorBidi" w:cstheme="majorBidi"/>
          <w:sz w:val="20"/>
          <w:szCs w:val="20"/>
        </w:rPr>
        <w:t xml:space="preserve">]. </w:t>
      </w:r>
      <w:r w:rsidRPr="007F7899">
        <w:rPr>
          <w:rFonts w:asciiTheme="majorBidi" w:hAnsiTheme="majorBidi" w:cstheme="majorBidi"/>
          <w:sz w:val="20"/>
          <w:szCs w:val="20"/>
        </w:rPr>
        <w:t>Moreover, previous studies have shown that reduction in the glomerular filtration rate is better correlated with tubulointerstitial injury than with glomerulosclerosis</w:t>
      </w:r>
      <w:r w:rsidR="003551BF" w:rsidRPr="007F7899">
        <w:rPr>
          <w:rFonts w:asciiTheme="majorBidi" w:hAnsiTheme="majorBidi" w:cstheme="majorBidi"/>
          <w:sz w:val="20"/>
          <w:szCs w:val="20"/>
        </w:rPr>
        <w:t>) [7].</w:t>
      </w:r>
    </w:p>
    <w:p w:rsidR="001365ED" w:rsidRPr="007F7899" w:rsidRDefault="001365ED"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Several factors, including cytokines and growth factors such as Transforming Growth Factor βI (TGF-βI) activate tubular cells and lead to this pathogenesis. Activated tubular cells secrete increased amounts of chemokines and cytokines into the peritubular interstitium. Activated tubular cells may themselves increase the formation of peritubular extracellular matrix as well </w:t>
      </w:r>
      <w:r w:rsidR="00A05300" w:rsidRPr="007F7899">
        <w:rPr>
          <w:rFonts w:asciiTheme="majorBidi" w:hAnsiTheme="majorBidi" w:cstheme="majorBidi"/>
          <w:sz w:val="20"/>
          <w:szCs w:val="20"/>
        </w:rPr>
        <w:t>[8].</w:t>
      </w:r>
    </w:p>
    <w:p w:rsidR="001365ED" w:rsidRPr="007F7899" w:rsidRDefault="001365ED"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Immune responses of tubular epithelial cells are induced by exposure to proteins e.g. stimulation of the release of various cytokines, including TGF-</w:t>
      </w:r>
      <w:proofErr w:type="gramStart"/>
      <w:r w:rsidRPr="007F7899">
        <w:rPr>
          <w:rFonts w:asciiTheme="majorBidi" w:hAnsiTheme="majorBidi" w:cstheme="majorBidi"/>
          <w:sz w:val="20"/>
          <w:szCs w:val="20"/>
        </w:rPr>
        <w:t>β1</w:t>
      </w:r>
      <w:r w:rsidR="0062511A" w:rsidRPr="007F7899">
        <w:rPr>
          <w:rFonts w:asciiTheme="majorBidi" w:hAnsiTheme="majorBidi" w:cstheme="majorBidi"/>
          <w:sz w:val="20"/>
          <w:szCs w:val="20"/>
        </w:rPr>
        <w:t>[</w:t>
      </w:r>
      <w:proofErr w:type="gramEnd"/>
      <w:r w:rsidR="0062511A" w:rsidRPr="007F7899">
        <w:rPr>
          <w:rFonts w:asciiTheme="majorBidi" w:hAnsiTheme="majorBidi" w:cstheme="majorBidi"/>
          <w:sz w:val="20"/>
          <w:szCs w:val="20"/>
        </w:rPr>
        <w:t>9]</w:t>
      </w:r>
      <w:r w:rsidR="003705CB"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The release of such cytokines causes differentiation of tubular epithelial cells and possibly tubular epithelial cells into myofibroblasts. This change of phenotype is characterized by de novo expression of alpha-smooth-muscle actin </w:t>
      </w:r>
      <w:r w:rsidR="0062511A" w:rsidRPr="007F7899">
        <w:rPr>
          <w:rFonts w:asciiTheme="majorBidi" w:hAnsiTheme="majorBidi" w:cstheme="majorBidi"/>
          <w:sz w:val="20"/>
          <w:szCs w:val="20"/>
        </w:rPr>
        <w:t>[10</w:t>
      </w:r>
      <w:r w:rsidR="00AC2448"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A specific gene Fsp1 (fibroblast-Specific Protein-1) </w:t>
      </w:r>
      <w:r w:rsidR="008F56BD" w:rsidRPr="007F7899">
        <w:rPr>
          <w:rFonts w:asciiTheme="majorBidi" w:hAnsiTheme="majorBidi" w:cstheme="majorBidi"/>
          <w:sz w:val="20"/>
          <w:szCs w:val="20"/>
        </w:rPr>
        <w:t>[</w:t>
      </w:r>
      <w:r w:rsidR="0062511A" w:rsidRPr="007F7899">
        <w:rPr>
          <w:rFonts w:asciiTheme="majorBidi" w:hAnsiTheme="majorBidi" w:cstheme="majorBidi"/>
          <w:sz w:val="20"/>
          <w:szCs w:val="20"/>
        </w:rPr>
        <w:t>11</w:t>
      </w:r>
      <w:r w:rsidR="008F56BD" w:rsidRPr="007F7899">
        <w:rPr>
          <w:rFonts w:asciiTheme="majorBidi" w:hAnsiTheme="majorBidi" w:cstheme="majorBidi"/>
          <w:sz w:val="20"/>
          <w:szCs w:val="20"/>
        </w:rPr>
        <w:t xml:space="preserve">], </w:t>
      </w:r>
      <w:r w:rsidRPr="007F7899">
        <w:rPr>
          <w:rFonts w:asciiTheme="majorBidi" w:hAnsiTheme="majorBidi" w:cstheme="majorBidi"/>
          <w:sz w:val="20"/>
          <w:szCs w:val="20"/>
        </w:rPr>
        <w:t>has been cloned, which triggers the transformation of tubular epithelial cells into myof</w:t>
      </w:r>
      <w:r w:rsidR="0062511A" w:rsidRPr="007F7899">
        <w:rPr>
          <w:rFonts w:asciiTheme="majorBidi" w:hAnsiTheme="majorBidi" w:cstheme="majorBidi"/>
          <w:sz w:val="20"/>
          <w:szCs w:val="20"/>
        </w:rPr>
        <w:t>ibroblasts [12</w:t>
      </w:r>
      <w:r w:rsidR="0052612A"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in response to cytokines, such as TGF-β.  Studies revealed that tubulointerstitial disease was a more reliable predictor of functional impairement than was glomerular injury in a variety of renal diseases e.g. </w:t>
      </w:r>
      <w:proofErr w:type="gramStart"/>
      <w:r w:rsidRPr="007F7899">
        <w:rPr>
          <w:rFonts w:asciiTheme="majorBidi" w:hAnsiTheme="majorBidi" w:cstheme="majorBidi"/>
          <w:sz w:val="20"/>
          <w:szCs w:val="20"/>
        </w:rPr>
        <w:t>membranoproliferative  glomeriulonephritis</w:t>
      </w:r>
      <w:proofErr w:type="gramEnd"/>
      <w:r w:rsidRPr="007F7899">
        <w:rPr>
          <w:rFonts w:asciiTheme="majorBidi" w:hAnsiTheme="majorBidi" w:cstheme="majorBidi"/>
          <w:sz w:val="20"/>
          <w:szCs w:val="20"/>
        </w:rPr>
        <w:t>, diabetic glomeriulosclerosis, glomerular amyloidosis etc.</w:t>
      </w:r>
      <w:r w:rsidR="0062511A" w:rsidRPr="007F7899">
        <w:rPr>
          <w:rFonts w:asciiTheme="majorBidi" w:hAnsiTheme="majorBidi" w:cstheme="majorBidi"/>
          <w:sz w:val="20"/>
          <w:szCs w:val="20"/>
        </w:rPr>
        <w:t>[13</w:t>
      </w:r>
      <w:r w:rsidR="0024227E" w:rsidRPr="007F7899">
        <w:rPr>
          <w:rFonts w:asciiTheme="majorBidi" w:hAnsiTheme="majorBidi" w:cstheme="majorBidi"/>
          <w:sz w:val="20"/>
          <w:szCs w:val="20"/>
        </w:rPr>
        <w:t>].</w:t>
      </w:r>
    </w:p>
    <w:p w:rsidR="00502025" w:rsidRPr="007F7899" w:rsidRDefault="001365ED"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Different sources of fibroblasts in organ fibrosis. Four possible mechanisms are depicted. One study suggests that about 12% of fibroblasts are from bone marrow, about 30% can arise via local EMT involving tubular epithelial cells under inflammatory stress, and about 35% are from EndMT </w:t>
      </w:r>
      <w:r w:rsidR="0062511A" w:rsidRPr="007F7899">
        <w:rPr>
          <w:rFonts w:asciiTheme="majorBidi" w:hAnsiTheme="majorBidi" w:cstheme="majorBidi"/>
          <w:sz w:val="20"/>
          <w:szCs w:val="20"/>
        </w:rPr>
        <w:t>[14</w:t>
      </w:r>
      <w:r w:rsidR="00CC69DF" w:rsidRPr="007F7899">
        <w:rPr>
          <w:rFonts w:asciiTheme="majorBidi" w:hAnsiTheme="majorBidi" w:cstheme="majorBidi"/>
          <w:sz w:val="20"/>
          <w:szCs w:val="20"/>
        </w:rPr>
        <w:t xml:space="preserve">]. </w:t>
      </w:r>
      <w:proofErr w:type="gramStart"/>
      <w:r w:rsidRPr="007F7899">
        <w:rPr>
          <w:rFonts w:asciiTheme="majorBidi" w:hAnsiTheme="majorBidi" w:cstheme="majorBidi"/>
          <w:sz w:val="20"/>
          <w:szCs w:val="20"/>
        </w:rPr>
        <w:t xml:space="preserve">Activation of resident fibroblasts or other mesenchymal cells, such as perivascular smooth muscle cells/pericytes and fibrocytes </w:t>
      </w:r>
      <w:r w:rsidR="0062511A" w:rsidRPr="007F7899">
        <w:rPr>
          <w:rFonts w:asciiTheme="majorBidi" w:hAnsiTheme="majorBidi" w:cstheme="majorBidi"/>
          <w:sz w:val="20"/>
          <w:szCs w:val="20"/>
        </w:rPr>
        <w:t>[15</w:t>
      </w:r>
      <w:r w:rsidR="00CC69DF" w:rsidRPr="007F7899">
        <w:rPr>
          <w:rFonts w:asciiTheme="majorBidi" w:hAnsiTheme="majorBidi" w:cstheme="majorBidi"/>
          <w:sz w:val="20"/>
          <w:szCs w:val="20"/>
        </w:rPr>
        <w:t>].</w:t>
      </w:r>
      <w:proofErr w:type="gramEnd"/>
      <w:r w:rsidR="00CC69DF"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The remaining </w:t>
      </w:r>
      <w:proofErr w:type="gramStart"/>
      <w:r w:rsidRPr="007F7899">
        <w:rPr>
          <w:rFonts w:asciiTheme="majorBidi" w:hAnsiTheme="majorBidi" w:cstheme="majorBidi"/>
          <w:sz w:val="20"/>
          <w:szCs w:val="20"/>
        </w:rPr>
        <w:t>percentage likely emerge</w:t>
      </w:r>
      <w:proofErr w:type="gramEnd"/>
      <w:r w:rsidRPr="007F7899">
        <w:rPr>
          <w:rFonts w:asciiTheme="majorBidi" w:hAnsiTheme="majorBidi" w:cstheme="majorBidi"/>
          <w:sz w:val="20"/>
          <w:szCs w:val="20"/>
        </w:rPr>
        <w:t xml:space="preserve"> via proliferation of the resident fibroblasts and other still unidentified sources. </w:t>
      </w:r>
      <w:proofErr w:type="gramStart"/>
      <w:r w:rsidRPr="007F7899">
        <w:rPr>
          <w:rFonts w:asciiTheme="majorBidi" w:hAnsiTheme="majorBidi" w:cstheme="majorBidi"/>
          <w:sz w:val="20"/>
          <w:szCs w:val="20"/>
        </w:rPr>
        <w:t>Systemic treatment of mice with renal fibrosis with recombinant human BMP-7.</w:t>
      </w:r>
      <w:proofErr w:type="gramEnd"/>
      <w:r w:rsidRPr="007F7899">
        <w:rPr>
          <w:rFonts w:asciiTheme="majorBidi" w:hAnsiTheme="majorBidi" w:cstheme="majorBidi"/>
          <w:sz w:val="20"/>
          <w:szCs w:val="20"/>
        </w:rPr>
        <w:t xml:space="preserve"> The bone morphogenetic </w:t>
      </w:r>
      <w:proofErr w:type="gramStart"/>
      <w:r w:rsidRPr="007F7899">
        <w:rPr>
          <w:rFonts w:asciiTheme="majorBidi" w:hAnsiTheme="majorBidi" w:cstheme="majorBidi"/>
          <w:sz w:val="20"/>
          <w:szCs w:val="20"/>
        </w:rPr>
        <w:t>proteins  (</w:t>
      </w:r>
      <w:proofErr w:type="gramEnd"/>
      <w:r w:rsidRPr="007F7899">
        <w:rPr>
          <w:rFonts w:asciiTheme="majorBidi" w:hAnsiTheme="majorBidi" w:cstheme="majorBidi"/>
          <w:sz w:val="20"/>
          <w:szCs w:val="20"/>
        </w:rPr>
        <w:t>BMPs) reverses renal disease due to severe attenuation of the formation of EMT- and EndMT-derived fibroblasts.</w:t>
      </w:r>
      <w:r w:rsidR="00513FAF" w:rsidRPr="007F7899">
        <w:rPr>
          <w:rFonts w:asciiTheme="majorBidi" w:hAnsiTheme="majorBidi" w:cstheme="majorBidi"/>
          <w:sz w:val="20"/>
          <w:szCs w:val="20"/>
        </w:rPr>
        <w:t xml:space="preserve"> </w:t>
      </w:r>
      <w:r w:rsidR="00437257" w:rsidRPr="007F7899">
        <w:rPr>
          <w:rFonts w:asciiTheme="majorBidi" w:hAnsiTheme="majorBidi" w:cstheme="majorBidi"/>
          <w:sz w:val="20"/>
          <w:szCs w:val="20"/>
        </w:rPr>
        <w:t xml:space="preserve">EMT is a process usually associated with an increase in cell motility and fibrotic sequelae with the accumulation of a newly expressed extracellular matrix (ECM). Various signalling pathways are involved in EMT.  Some proteins are transcriptional repressors </w:t>
      </w:r>
      <w:proofErr w:type="gramStart"/>
      <w:r w:rsidR="00437257" w:rsidRPr="007F7899">
        <w:rPr>
          <w:rFonts w:asciiTheme="majorBidi" w:hAnsiTheme="majorBidi" w:cstheme="majorBidi"/>
          <w:sz w:val="20"/>
          <w:szCs w:val="20"/>
        </w:rPr>
        <w:t>of  E</w:t>
      </w:r>
      <w:proofErr w:type="gramEnd"/>
      <w:r w:rsidR="00437257" w:rsidRPr="007F7899">
        <w:rPr>
          <w:rFonts w:asciiTheme="majorBidi" w:hAnsiTheme="majorBidi" w:cstheme="majorBidi"/>
          <w:sz w:val="20"/>
          <w:szCs w:val="20"/>
        </w:rPr>
        <w:t xml:space="preserve">-cadherin and their expression induces </w:t>
      </w:r>
      <w:r w:rsidR="00437257" w:rsidRPr="007F7899">
        <w:rPr>
          <w:rFonts w:asciiTheme="majorBidi" w:hAnsiTheme="majorBidi" w:cstheme="majorBidi"/>
          <w:sz w:val="20"/>
          <w:szCs w:val="20"/>
        </w:rPr>
        <w:lastRenderedPageBreak/>
        <w:t xml:space="preserve">EMT. Recently, activation of the phosphatidylinositol 3' kinase (PI3K)/AKT axis is emerging as a central feature of EMT </w:t>
      </w:r>
      <w:r w:rsidR="0062511A" w:rsidRPr="007F7899">
        <w:rPr>
          <w:rFonts w:asciiTheme="majorBidi" w:hAnsiTheme="majorBidi" w:cstheme="majorBidi"/>
          <w:sz w:val="20"/>
          <w:szCs w:val="20"/>
        </w:rPr>
        <w:t>[16</w:t>
      </w:r>
      <w:r w:rsidR="005D26A4" w:rsidRPr="007F7899">
        <w:rPr>
          <w:rFonts w:asciiTheme="majorBidi" w:hAnsiTheme="majorBidi" w:cstheme="majorBidi"/>
          <w:sz w:val="20"/>
          <w:szCs w:val="20"/>
        </w:rPr>
        <w:t xml:space="preserve">]. </w:t>
      </w:r>
      <w:r w:rsidR="00437257" w:rsidRPr="007F7899">
        <w:rPr>
          <w:rFonts w:asciiTheme="majorBidi" w:hAnsiTheme="majorBidi" w:cstheme="majorBidi"/>
          <w:sz w:val="20"/>
          <w:szCs w:val="20"/>
        </w:rPr>
        <w:t>A prototypical feature of epithelial cells undergoing an EMT</w:t>
      </w:r>
      <w:r w:rsidR="00437257" w:rsidRPr="007F7899">
        <w:rPr>
          <w:rFonts w:ascii="Cambria Math" w:hAnsi="Cambria Math" w:cs="Cambria Math"/>
          <w:sz w:val="20"/>
          <w:szCs w:val="20"/>
        </w:rPr>
        <w:t>‐</w:t>
      </w:r>
      <w:r w:rsidR="00437257" w:rsidRPr="007F7899">
        <w:rPr>
          <w:rFonts w:asciiTheme="majorBidi" w:hAnsiTheme="majorBidi" w:cstheme="majorBidi"/>
          <w:sz w:val="20"/>
          <w:szCs w:val="20"/>
        </w:rPr>
        <w:t xml:space="preserve">process is reduced and </w:t>
      </w:r>
      <w:proofErr w:type="gramStart"/>
      <w:r w:rsidR="00437257" w:rsidRPr="007F7899">
        <w:rPr>
          <w:rFonts w:asciiTheme="majorBidi" w:hAnsiTheme="majorBidi" w:cstheme="majorBidi"/>
          <w:sz w:val="20"/>
          <w:szCs w:val="20"/>
        </w:rPr>
        <w:t>finally  lost</w:t>
      </w:r>
      <w:proofErr w:type="gramEnd"/>
      <w:r w:rsidR="00437257" w:rsidRPr="007F7899">
        <w:rPr>
          <w:rFonts w:asciiTheme="majorBidi" w:hAnsiTheme="majorBidi" w:cstheme="majorBidi"/>
          <w:sz w:val="20"/>
          <w:szCs w:val="20"/>
        </w:rPr>
        <w:t xml:space="preserve"> expression of the epithelial marker E</w:t>
      </w:r>
      <w:r w:rsidR="00437257" w:rsidRPr="007F7899">
        <w:rPr>
          <w:rFonts w:ascii="Cambria Math" w:hAnsi="Cambria Math" w:cs="Cambria Math"/>
          <w:sz w:val="20"/>
          <w:szCs w:val="20"/>
        </w:rPr>
        <w:t>‐</w:t>
      </w:r>
      <w:r w:rsidR="00437257" w:rsidRPr="007F7899">
        <w:rPr>
          <w:rFonts w:asciiTheme="majorBidi" w:hAnsiTheme="majorBidi" w:cstheme="majorBidi"/>
          <w:sz w:val="20"/>
          <w:szCs w:val="20"/>
        </w:rPr>
        <w:t>cadherin, a member of the    adherent junction protein family</w:t>
      </w:r>
      <w:r w:rsidR="0062511A" w:rsidRPr="007F7899">
        <w:rPr>
          <w:rFonts w:asciiTheme="majorBidi" w:hAnsiTheme="majorBidi" w:cstheme="majorBidi"/>
          <w:sz w:val="20"/>
          <w:szCs w:val="20"/>
        </w:rPr>
        <w:t>[17</w:t>
      </w:r>
      <w:r w:rsidR="005D26A4" w:rsidRPr="007F7899">
        <w:rPr>
          <w:rFonts w:asciiTheme="majorBidi" w:hAnsiTheme="majorBidi" w:cstheme="majorBidi"/>
          <w:sz w:val="20"/>
          <w:szCs w:val="20"/>
        </w:rPr>
        <w:t>].</w:t>
      </w:r>
    </w:p>
    <w:p w:rsidR="00227750" w:rsidRPr="007F7899" w:rsidRDefault="007F7899" w:rsidP="007F7899">
      <w:pPr>
        <w:pStyle w:val="ListParagraph"/>
        <w:widowControl w:val="0"/>
        <w:numPr>
          <w:ilvl w:val="0"/>
          <w:numId w:val="4"/>
        </w:numPr>
        <w:spacing w:before="100" w:beforeAutospacing="1" w:after="100" w:afterAutospacing="1" w:line="360" w:lineRule="auto"/>
        <w:ind w:left="180" w:hanging="180"/>
        <w:jc w:val="both"/>
        <w:rPr>
          <w:rFonts w:asciiTheme="majorBidi" w:hAnsiTheme="majorBidi" w:cstheme="majorBidi"/>
          <w:b/>
          <w:bCs/>
          <w:sz w:val="20"/>
          <w:szCs w:val="20"/>
        </w:rPr>
      </w:pPr>
      <w:r w:rsidRPr="007F7899">
        <w:rPr>
          <w:rFonts w:asciiTheme="majorBidi" w:hAnsiTheme="majorBidi" w:cstheme="majorBidi"/>
          <w:b/>
          <w:bCs/>
          <w:sz w:val="20"/>
          <w:szCs w:val="20"/>
        </w:rPr>
        <w:t xml:space="preserve">Materials  and Methods </w:t>
      </w:r>
    </w:p>
    <w:p w:rsidR="00227750" w:rsidRPr="007F7899" w:rsidRDefault="005B69DF"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Those have been used in this </w:t>
      </w:r>
      <w:proofErr w:type="gramStart"/>
      <w:r w:rsidRPr="007F7899">
        <w:rPr>
          <w:rFonts w:asciiTheme="majorBidi" w:hAnsiTheme="majorBidi" w:cstheme="majorBidi"/>
          <w:sz w:val="20"/>
          <w:szCs w:val="20"/>
        </w:rPr>
        <w:t>Abstract :</w:t>
      </w:r>
      <w:proofErr w:type="gramEnd"/>
    </w:p>
    <w:p w:rsidR="00EE6EEA" w:rsidRPr="007F7899" w:rsidRDefault="00EE6EEA" w:rsidP="007F7899">
      <w:pPr>
        <w:pStyle w:val="ListParagraph"/>
        <w:widowControl w:val="0"/>
        <w:numPr>
          <w:ilvl w:val="0"/>
          <w:numId w:val="3"/>
        </w:numPr>
        <w:spacing w:before="100" w:beforeAutospacing="1" w:after="100" w:afterAutospacing="1" w:line="360" w:lineRule="auto"/>
        <w:contextualSpacing w:val="0"/>
        <w:jc w:val="both"/>
        <w:rPr>
          <w:rFonts w:asciiTheme="majorBidi" w:hAnsiTheme="majorBidi" w:cstheme="majorBidi"/>
          <w:sz w:val="20"/>
          <w:szCs w:val="20"/>
        </w:rPr>
      </w:pPr>
      <w:r w:rsidRPr="007F7899">
        <w:rPr>
          <w:rFonts w:asciiTheme="majorBidi" w:hAnsiTheme="majorBidi" w:cstheme="majorBidi"/>
          <w:sz w:val="20"/>
          <w:szCs w:val="20"/>
        </w:rPr>
        <w:t>Conventional PCR.</w:t>
      </w:r>
    </w:p>
    <w:p w:rsidR="00EE6EEA" w:rsidRPr="007F7899" w:rsidRDefault="00EE6EEA" w:rsidP="007F7899">
      <w:pPr>
        <w:pStyle w:val="ListParagraph"/>
        <w:widowControl w:val="0"/>
        <w:numPr>
          <w:ilvl w:val="0"/>
          <w:numId w:val="3"/>
        </w:numPr>
        <w:spacing w:before="100" w:beforeAutospacing="1" w:after="100" w:afterAutospacing="1" w:line="360" w:lineRule="auto"/>
        <w:contextualSpacing w:val="0"/>
        <w:jc w:val="both"/>
        <w:rPr>
          <w:rFonts w:asciiTheme="majorBidi" w:hAnsiTheme="majorBidi" w:cstheme="majorBidi"/>
          <w:sz w:val="20"/>
          <w:szCs w:val="20"/>
        </w:rPr>
      </w:pPr>
      <w:r w:rsidRPr="007F7899">
        <w:rPr>
          <w:rFonts w:asciiTheme="majorBidi" w:hAnsiTheme="majorBidi" w:cstheme="majorBidi"/>
          <w:sz w:val="20"/>
          <w:szCs w:val="20"/>
        </w:rPr>
        <w:t>Semi-Quantitative Polymerase chain reaction.</w:t>
      </w:r>
    </w:p>
    <w:p w:rsidR="00EE6EEA" w:rsidRPr="007F7899" w:rsidRDefault="00EE6EEA" w:rsidP="007F7899">
      <w:pPr>
        <w:pStyle w:val="ListParagraph"/>
        <w:widowControl w:val="0"/>
        <w:numPr>
          <w:ilvl w:val="0"/>
          <w:numId w:val="3"/>
        </w:numPr>
        <w:spacing w:before="100" w:beforeAutospacing="1" w:after="100" w:afterAutospacing="1" w:line="360" w:lineRule="auto"/>
        <w:contextualSpacing w:val="0"/>
        <w:jc w:val="both"/>
        <w:rPr>
          <w:rFonts w:asciiTheme="majorBidi" w:hAnsiTheme="majorBidi" w:cstheme="majorBidi"/>
          <w:sz w:val="20"/>
          <w:szCs w:val="20"/>
        </w:rPr>
      </w:pPr>
      <w:r w:rsidRPr="007F7899">
        <w:rPr>
          <w:rFonts w:asciiTheme="majorBidi" w:hAnsiTheme="majorBidi" w:cstheme="majorBidi"/>
          <w:sz w:val="20"/>
          <w:szCs w:val="20"/>
        </w:rPr>
        <w:t>Quantitative Polymerase chain reaction (Q-PCR).</w:t>
      </w:r>
    </w:p>
    <w:p w:rsidR="00EE6EEA" w:rsidRPr="007F7899" w:rsidRDefault="00EE6EEA" w:rsidP="007F7899">
      <w:pPr>
        <w:pStyle w:val="ListParagraph"/>
        <w:widowControl w:val="0"/>
        <w:numPr>
          <w:ilvl w:val="0"/>
          <w:numId w:val="3"/>
        </w:numPr>
        <w:spacing w:before="100" w:beforeAutospacing="1" w:after="100" w:afterAutospacing="1" w:line="360" w:lineRule="auto"/>
        <w:contextualSpacing w:val="0"/>
        <w:jc w:val="both"/>
        <w:rPr>
          <w:rFonts w:asciiTheme="majorBidi" w:hAnsiTheme="majorBidi" w:cstheme="majorBidi"/>
          <w:sz w:val="20"/>
          <w:szCs w:val="20"/>
        </w:rPr>
      </w:pPr>
      <w:r w:rsidRPr="007F7899">
        <w:rPr>
          <w:rFonts w:asciiTheme="majorBidi" w:hAnsiTheme="majorBidi" w:cstheme="majorBidi"/>
          <w:sz w:val="20"/>
          <w:szCs w:val="20"/>
        </w:rPr>
        <w:t>Western Blot Analysis.</w:t>
      </w:r>
    </w:p>
    <w:p w:rsidR="00EE6EEA" w:rsidRPr="007F7899" w:rsidRDefault="00EE6EEA" w:rsidP="007F7899">
      <w:pPr>
        <w:pStyle w:val="ListParagraph"/>
        <w:widowControl w:val="0"/>
        <w:numPr>
          <w:ilvl w:val="0"/>
          <w:numId w:val="3"/>
        </w:numPr>
        <w:spacing w:before="100" w:beforeAutospacing="1" w:after="100" w:afterAutospacing="1" w:line="360" w:lineRule="auto"/>
        <w:contextualSpacing w:val="0"/>
        <w:jc w:val="both"/>
        <w:rPr>
          <w:rFonts w:asciiTheme="majorBidi" w:hAnsiTheme="majorBidi" w:cstheme="majorBidi"/>
          <w:sz w:val="20"/>
          <w:szCs w:val="20"/>
        </w:rPr>
      </w:pPr>
      <w:r w:rsidRPr="007F7899">
        <w:rPr>
          <w:rFonts w:asciiTheme="majorBidi" w:hAnsiTheme="majorBidi" w:cstheme="majorBidi"/>
          <w:sz w:val="20"/>
          <w:szCs w:val="20"/>
        </w:rPr>
        <w:t>Reporter Gene Analysis.</w:t>
      </w:r>
    </w:p>
    <w:p w:rsidR="00EE6EEA" w:rsidRPr="007F7899" w:rsidRDefault="00EE6EEA" w:rsidP="007F7899">
      <w:pPr>
        <w:pStyle w:val="ListParagraph"/>
        <w:widowControl w:val="0"/>
        <w:numPr>
          <w:ilvl w:val="0"/>
          <w:numId w:val="3"/>
        </w:numPr>
        <w:spacing w:before="100" w:beforeAutospacing="1" w:after="100" w:afterAutospacing="1" w:line="360" w:lineRule="auto"/>
        <w:contextualSpacing w:val="0"/>
        <w:jc w:val="both"/>
        <w:rPr>
          <w:rFonts w:asciiTheme="majorBidi" w:hAnsiTheme="majorBidi" w:cstheme="majorBidi"/>
          <w:sz w:val="20"/>
          <w:szCs w:val="20"/>
        </w:rPr>
      </w:pPr>
      <w:r w:rsidRPr="007F7899">
        <w:rPr>
          <w:rFonts w:asciiTheme="majorBidi" w:hAnsiTheme="majorBidi" w:cstheme="majorBidi"/>
          <w:sz w:val="20"/>
          <w:szCs w:val="20"/>
        </w:rPr>
        <w:t>Statistical Analysis.</w:t>
      </w:r>
    </w:p>
    <w:p w:rsidR="005C36A0" w:rsidRPr="007F7899" w:rsidRDefault="0092458F" w:rsidP="007F7899">
      <w:pPr>
        <w:pStyle w:val="ListParagraph"/>
        <w:widowControl w:val="0"/>
        <w:spacing w:before="100" w:beforeAutospacing="1" w:after="100" w:afterAutospacing="1" w:line="360" w:lineRule="auto"/>
        <w:ind w:left="0"/>
        <w:contextualSpacing w:val="0"/>
        <w:jc w:val="both"/>
        <w:rPr>
          <w:rFonts w:asciiTheme="majorBidi" w:hAnsiTheme="majorBidi" w:cstheme="majorBidi"/>
          <w:sz w:val="20"/>
          <w:szCs w:val="20"/>
        </w:rPr>
      </w:pPr>
      <w:r w:rsidRPr="007F7899">
        <w:rPr>
          <w:rFonts w:asciiTheme="majorBidi" w:hAnsiTheme="majorBidi" w:cstheme="majorBidi"/>
          <w:sz w:val="20"/>
          <w:szCs w:val="20"/>
        </w:rPr>
        <w:t>These methods have been shown in each experiment</w:t>
      </w:r>
      <w:r w:rsidR="008A6190" w:rsidRPr="007F7899">
        <w:rPr>
          <w:rFonts w:asciiTheme="majorBidi" w:hAnsiTheme="majorBidi" w:cstheme="majorBidi"/>
          <w:sz w:val="20"/>
          <w:szCs w:val="20"/>
        </w:rPr>
        <w:t xml:space="preserve"> in this abstract.</w:t>
      </w:r>
    </w:p>
    <w:p w:rsidR="00094769" w:rsidRPr="007F7899" w:rsidRDefault="007F7899" w:rsidP="007F7899">
      <w:pPr>
        <w:widowControl w:val="0"/>
        <w:spacing w:before="100" w:beforeAutospacing="1" w:after="100" w:afterAutospacing="1" w:line="360" w:lineRule="auto"/>
        <w:jc w:val="both"/>
        <w:rPr>
          <w:rFonts w:asciiTheme="majorBidi" w:hAnsiTheme="majorBidi" w:cstheme="majorBidi"/>
          <w:i/>
          <w:iCs/>
          <w:sz w:val="20"/>
          <w:szCs w:val="20"/>
        </w:rPr>
      </w:pPr>
      <w:r w:rsidRPr="007F7899">
        <w:rPr>
          <w:rFonts w:asciiTheme="majorBidi" w:hAnsiTheme="majorBidi" w:cstheme="majorBidi"/>
          <w:b/>
          <w:bCs/>
          <w:i/>
          <w:iCs/>
          <w:sz w:val="20"/>
          <w:szCs w:val="20"/>
        </w:rPr>
        <w:t>2.1</w:t>
      </w:r>
      <w:proofErr w:type="gramStart"/>
      <w:r w:rsidRPr="007F7899">
        <w:rPr>
          <w:rFonts w:asciiTheme="majorBidi" w:hAnsiTheme="majorBidi" w:cstheme="majorBidi"/>
          <w:b/>
          <w:bCs/>
          <w:i/>
          <w:iCs/>
          <w:sz w:val="20"/>
          <w:szCs w:val="20"/>
        </w:rPr>
        <w:t>.</w:t>
      </w:r>
      <w:r w:rsidR="000D2D2A" w:rsidRPr="007F7899">
        <w:rPr>
          <w:rFonts w:asciiTheme="majorBidi" w:hAnsiTheme="majorBidi" w:cstheme="majorBidi"/>
          <w:b/>
          <w:bCs/>
          <w:i/>
          <w:iCs/>
          <w:sz w:val="20"/>
          <w:szCs w:val="20"/>
        </w:rPr>
        <w:t>Transfo</w:t>
      </w:r>
      <w:r w:rsidRPr="007F7899">
        <w:rPr>
          <w:rFonts w:asciiTheme="majorBidi" w:hAnsiTheme="majorBidi" w:cstheme="majorBidi"/>
          <w:b/>
          <w:bCs/>
          <w:i/>
          <w:iCs/>
          <w:sz w:val="20"/>
          <w:szCs w:val="20"/>
        </w:rPr>
        <w:t>rming</w:t>
      </w:r>
      <w:proofErr w:type="gramEnd"/>
      <w:r w:rsidRPr="007F7899">
        <w:rPr>
          <w:rFonts w:asciiTheme="majorBidi" w:hAnsiTheme="majorBidi" w:cstheme="majorBidi"/>
          <w:b/>
          <w:bCs/>
          <w:i/>
          <w:iCs/>
          <w:sz w:val="20"/>
          <w:szCs w:val="20"/>
        </w:rPr>
        <w:t xml:space="preserve"> Growth Factor Beta TGF-β </w:t>
      </w:r>
      <w:r w:rsidR="000D2D2A" w:rsidRPr="007F7899">
        <w:rPr>
          <w:rFonts w:asciiTheme="majorBidi" w:hAnsiTheme="majorBidi" w:cstheme="majorBidi"/>
          <w:b/>
          <w:bCs/>
          <w:i/>
          <w:iCs/>
          <w:sz w:val="20"/>
          <w:szCs w:val="20"/>
        </w:rPr>
        <w:t xml:space="preserve"> </w:t>
      </w:r>
    </w:p>
    <w:p w:rsidR="00094769" w:rsidRPr="007F7899" w:rsidRDefault="007F7899" w:rsidP="007F7899">
      <w:pPr>
        <w:widowControl w:val="0"/>
        <w:spacing w:before="100" w:beforeAutospacing="1" w:after="100" w:afterAutospacing="1" w:line="360" w:lineRule="auto"/>
        <w:jc w:val="center"/>
        <w:rPr>
          <w:rFonts w:asciiTheme="majorBidi" w:hAnsiTheme="majorBidi" w:cstheme="majorBidi"/>
          <w:sz w:val="20"/>
          <w:szCs w:val="20"/>
        </w:rPr>
      </w:pPr>
      <w:r>
        <w:rPr>
          <w:noProof/>
          <w:lang w:val="en-US"/>
        </w:rPr>
        <w:drawing>
          <wp:inline distT="0" distB="0" distL="0" distR="0" wp14:anchorId="6BD38457" wp14:editId="1D6CAC29">
            <wp:extent cx="2581275" cy="16602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586911" cy="1663827"/>
                    </a:xfrm>
                    <a:prstGeom prst="rect">
                      <a:avLst/>
                    </a:prstGeom>
                  </pic:spPr>
                </pic:pic>
              </a:graphicData>
            </a:graphic>
          </wp:inline>
        </w:drawing>
      </w:r>
    </w:p>
    <w:p w:rsidR="007F7899" w:rsidRPr="007F7899" w:rsidRDefault="007F7899" w:rsidP="007F7899">
      <w:pPr>
        <w:widowControl w:val="0"/>
        <w:spacing w:before="100" w:beforeAutospacing="1" w:after="100" w:afterAutospacing="1" w:line="360" w:lineRule="auto"/>
        <w:jc w:val="center"/>
        <w:rPr>
          <w:rFonts w:asciiTheme="majorBidi" w:hAnsiTheme="majorBidi" w:cstheme="majorBidi"/>
          <w:b/>
          <w:bCs/>
          <w:sz w:val="20"/>
          <w:szCs w:val="20"/>
        </w:rPr>
      </w:pPr>
      <w:r w:rsidRPr="007F7899">
        <w:rPr>
          <w:rFonts w:asciiTheme="majorBidi" w:hAnsiTheme="majorBidi" w:cstheme="majorBidi"/>
          <w:b/>
          <w:bCs/>
          <w:sz w:val="20"/>
          <w:szCs w:val="20"/>
        </w:rPr>
        <w:t>Figure</w:t>
      </w:r>
      <w:r>
        <w:rPr>
          <w:rFonts w:asciiTheme="majorBidi" w:hAnsiTheme="majorBidi" w:cstheme="majorBidi"/>
          <w:b/>
          <w:bCs/>
          <w:sz w:val="20"/>
          <w:szCs w:val="20"/>
        </w:rPr>
        <w:t xml:space="preserve"> 1</w:t>
      </w:r>
      <w:r w:rsidRPr="007F7899">
        <w:rPr>
          <w:rFonts w:asciiTheme="majorBidi" w:hAnsiTheme="majorBidi" w:cstheme="majorBidi"/>
          <w:b/>
          <w:bCs/>
          <w:sz w:val="20"/>
          <w:szCs w:val="20"/>
        </w:rPr>
        <w:t xml:space="preserve">: </w:t>
      </w:r>
      <w:r w:rsidRPr="007F7899">
        <w:rPr>
          <w:rFonts w:asciiTheme="majorBidi" w:hAnsiTheme="majorBidi" w:cstheme="majorBidi"/>
          <w:sz w:val="20"/>
          <w:szCs w:val="20"/>
        </w:rPr>
        <w:t xml:space="preserve">Shows the structure of Transforming Growth Factor Beta with its N and </w:t>
      </w:r>
      <w:proofErr w:type="gramStart"/>
      <w:r w:rsidRPr="007F7899">
        <w:rPr>
          <w:rFonts w:asciiTheme="majorBidi" w:hAnsiTheme="majorBidi" w:cstheme="majorBidi"/>
          <w:sz w:val="20"/>
          <w:szCs w:val="20"/>
        </w:rPr>
        <w:t>C  terminals</w:t>
      </w:r>
      <w:proofErr w:type="gramEnd"/>
      <w:r w:rsidRPr="007F7899">
        <w:rPr>
          <w:rFonts w:asciiTheme="majorBidi" w:hAnsiTheme="majorBidi" w:cstheme="majorBidi"/>
          <w:sz w:val="20"/>
          <w:szCs w:val="20"/>
        </w:rPr>
        <w:t xml:space="preserve"> with small and large latent complexes.</w:t>
      </w:r>
    </w:p>
    <w:p w:rsidR="008A6190" w:rsidRDefault="005B69DF" w:rsidP="007F7899">
      <w:pPr>
        <w:widowControl w:val="0"/>
        <w:spacing w:before="100" w:beforeAutospacing="1" w:after="100" w:afterAutospacing="1" w:line="360" w:lineRule="auto"/>
        <w:jc w:val="both"/>
        <w:rPr>
          <w:rFonts w:asciiTheme="majorBidi" w:hAnsiTheme="majorBidi" w:cstheme="majorBidi"/>
          <w:b/>
          <w:bCs/>
          <w:sz w:val="20"/>
          <w:szCs w:val="20"/>
        </w:rPr>
      </w:pPr>
      <w:r w:rsidRPr="007F7899">
        <w:rPr>
          <w:rFonts w:asciiTheme="majorBidi" w:hAnsiTheme="majorBidi" w:cstheme="majorBidi"/>
          <w:b/>
          <w:bCs/>
          <w:sz w:val="20"/>
          <w:szCs w:val="20"/>
        </w:rPr>
        <w:t>Adapted from: www.biochemj.org/bj/352/0601/bj3520601f01.jpg, Rahmi ÖKLÜ, and Robin HESKETH</w:t>
      </w:r>
    </w:p>
    <w:p w:rsidR="00AB0A80" w:rsidRPr="007F7899" w:rsidRDefault="00AB0A80" w:rsidP="00AB0A80">
      <w:pPr>
        <w:pStyle w:val="ListParagraph"/>
        <w:widowControl w:val="0"/>
        <w:numPr>
          <w:ilvl w:val="1"/>
          <w:numId w:val="4"/>
        </w:numPr>
        <w:spacing w:before="100" w:beforeAutospacing="1" w:after="100" w:afterAutospacing="1" w:line="360" w:lineRule="auto"/>
        <w:ind w:left="360"/>
        <w:jc w:val="both"/>
        <w:rPr>
          <w:rFonts w:asciiTheme="majorBidi" w:hAnsiTheme="majorBidi" w:cstheme="majorBidi"/>
          <w:b/>
          <w:bCs/>
          <w:i/>
          <w:iCs/>
          <w:sz w:val="20"/>
          <w:szCs w:val="20"/>
        </w:rPr>
      </w:pPr>
      <w:r w:rsidRPr="007F7899">
        <w:rPr>
          <w:rFonts w:asciiTheme="majorBidi" w:hAnsiTheme="majorBidi" w:cstheme="majorBidi"/>
          <w:b/>
          <w:bCs/>
          <w:i/>
          <w:iCs/>
          <w:sz w:val="20"/>
          <w:szCs w:val="20"/>
        </w:rPr>
        <w:t>Adapted from : researchblogs.duke.edu/jas83</w:t>
      </w:r>
    </w:p>
    <w:p w:rsidR="00AB0A80" w:rsidRPr="007F7899" w:rsidRDefault="00AB0A80" w:rsidP="00AB0A80">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There are five receptors regulating SMADs: SMAD1, SMAD2, SMAD3, SMAD5, and SMAD9 (sometimes referred to as SMAD8) figure 2 above. There are essentially two intracellular pathways involving these R-SMADs. TGF beta's, Activins, Nodals and some GDFs (Growth and differentiation factors (GDFs) are mediated by SMAD2 and SMAD3, while BMPs (Bone morphogenetic </w:t>
      </w:r>
      <w:proofErr w:type="gramStart"/>
      <w:r w:rsidRPr="007F7899">
        <w:rPr>
          <w:rFonts w:asciiTheme="majorBidi" w:hAnsiTheme="majorBidi" w:cstheme="majorBidi"/>
          <w:sz w:val="20"/>
          <w:szCs w:val="20"/>
        </w:rPr>
        <w:t>proteins )</w:t>
      </w:r>
      <w:proofErr w:type="gramEnd"/>
      <w:r w:rsidRPr="007F7899">
        <w:rPr>
          <w:rFonts w:asciiTheme="majorBidi" w:hAnsiTheme="majorBidi" w:cstheme="majorBidi"/>
          <w:sz w:val="20"/>
          <w:szCs w:val="20"/>
        </w:rPr>
        <w:t xml:space="preserve">, AMH(Anti-mullerian hormone) and a few GDFs are mediated by SMAD1, SMAD5 and SMAD9.  Binding of transforming growth factor beta (TGF-β) to its cell surface receptor Type II leads to the phosphorylation of the Type I receptor by Type II. The Type I </w:t>
      </w:r>
      <w:r w:rsidRPr="007F7899">
        <w:rPr>
          <w:rFonts w:asciiTheme="majorBidi" w:hAnsiTheme="majorBidi" w:cstheme="majorBidi"/>
          <w:sz w:val="20"/>
          <w:szCs w:val="20"/>
        </w:rPr>
        <w:lastRenderedPageBreak/>
        <w:t>receptor is then able to phosphorylate and activate the SMAD2 protein. Smad2, with Smad4, is translocated to the nucleus where the activated Smad complex recruits other biological effects of TGF-b, the above explained pathway called the classical signalling pathway of TGF-β (Figure 4). There are also Smad-independent pathways activated by TGF binding its receptors as Rho</w:t>
      </w:r>
      <w:proofErr w:type="gramStart"/>
      <w:r w:rsidRPr="007F7899">
        <w:rPr>
          <w:rFonts w:asciiTheme="majorBidi" w:hAnsiTheme="majorBidi" w:cstheme="majorBidi"/>
          <w:sz w:val="20"/>
          <w:szCs w:val="20"/>
        </w:rPr>
        <w:t>,MAPK,PKC,Cross</w:t>
      </w:r>
      <w:proofErr w:type="gramEnd"/>
      <w:r w:rsidRPr="007F7899">
        <w:rPr>
          <w:rFonts w:asciiTheme="majorBidi" w:hAnsiTheme="majorBidi" w:cstheme="majorBidi"/>
          <w:sz w:val="20"/>
          <w:szCs w:val="20"/>
        </w:rPr>
        <w:t>-talk TGF-β signalling and Wint pathways.</w:t>
      </w:r>
    </w:p>
    <w:p w:rsidR="00756E6A" w:rsidRPr="007F7899" w:rsidRDefault="00D32E42" w:rsidP="007F7899">
      <w:pPr>
        <w:widowControl w:val="0"/>
        <w:spacing w:before="100" w:beforeAutospacing="1" w:after="100" w:afterAutospacing="1" w:line="360" w:lineRule="auto"/>
        <w:jc w:val="center"/>
        <w:rPr>
          <w:rFonts w:asciiTheme="majorBidi" w:hAnsiTheme="majorBidi" w:cstheme="majorBidi"/>
          <w:sz w:val="20"/>
          <w:szCs w:val="20"/>
        </w:rPr>
      </w:pPr>
      <w:r w:rsidRPr="007F7899">
        <w:rPr>
          <w:rFonts w:asciiTheme="majorBidi" w:hAnsiTheme="majorBidi" w:cstheme="majorBidi"/>
          <w:noProof/>
          <w:sz w:val="20"/>
          <w:szCs w:val="20"/>
          <w:lang w:val="en-US"/>
        </w:rPr>
        <w:drawing>
          <wp:inline distT="0" distB="0" distL="0" distR="0" wp14:anchorId="4482A46D" wp14:editId="62EAB86C">
            <wp:extent cx="5653740" cy="3886200"/>
            <wp:effectExtent l="0" t="0" r="4445" b="0"/>
            <wp:docPr id="2" name="صورة 2" descr="http://photos-c.ak.facebook.com/photos-ak-sf2p/v108/54/61/1381200213/n1381200213_30277578_2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hotos-c.ak.facebook.com/photos-ak-sf2p/v108/54/61/1381200213/n1381200213_30277578_209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0363" cy="3904499"/>
                    </a:xfrm>
                    <a:prstGeom prst="rect">
                      <a:avLst/>
                    </a:prstGeom>
                    <a:noFill/>
                    <a:ln>
                      <a:noFill/>
                    </a:ln>
                  </pic:spPr>
                </pic:pic>
              </a:graphicData>
            </a:graphic>
          </wp:inline>
        </w:drawing>
      </w:r>
    </w:p>
    <w:p w:rsidR="007F7899" w:rsidRPr="007F7899" w:rsidRDefault="007F7899" w:rsidP="007F7899">
      <w:pPr>
        <w:widowControl w:val="0"/>
        <w:spacing w:before="100" w:beforeAutospacing="1" w:after="100" w:afterAutospacing="1" w:line="360" w:lineRule="auto"/>
        <w:jc w:val="center"/>
        <w:rPr>
          <w:rFonts w:asciiTheme="majorBidi" w:hAnsiTheme="majorBidi" w:cstheme="majorBidi"/>
          <w:b/>
          <w:bCs/>
          <w:sz w:val="20"/>
          <w:szCs w:val="20"/>
        </w:rPr>
      </w:pPr>
      <w:r>
        <w:rPr>
          <w:rFonts w:asciiTheme="majorBidi" w:hAnsiTheme="majorBidi" w:cstheme="majorBidi"/>
          <w:b/>
          <w:bCs/>
          <w:sz w:val="20"/>
          <w:szCs w:val="20"/>
        </w:rPr>
        <w:t>Figure 2</w:t>
      </w:r>
      <w:r w:rsidRPr="007F7899">
        <w:rPr>
          <w:rFonts w:asciiTheme="majorBidi" w:hAnsiTheme="majorBidi" w:cstheme="majorBidi"/>
          <w:b/>
          <w:bCs/>
          <w:sz w:val="20"/>
          <w:szCs w:val="20"/>
        </w:rPr>
        <w:t xml:space="preserve">: </w:t>
      </w:r>
      <w:r w:rsidRPr="007F7899">
        <w:rPr>
          <w:rFonts w:asciiTheme="majorBidi" w:hAnsiTheme="majorBidi" w:cstheme="majorBidi"/>
          <w:sz w:val="20"/>
          <w:szCs w:val="20"/>
        </w:rPr>
        <w:t>Signalling Pathways of TGF-β. The classical signalling pathway</w:t>
      </w:r>
      <w:r>
        <w:rPr>
          <w:rFonts w:asciiTheme="majorBidi" w:hAnsiTheme="majorBidi" w:cstheme="majorBidi"/>
          <w:b/>
          <w:bCs/>
          <w:sz w:val="20"/>
          <w:szCs w:val="20"/>
        </w:rPr>
        <w:t xml:space="preserve"> </w:t>
      </w:r>
    </w:p>
    <w:p w:rsidR="006D722A" w:rsidRPr="007F7899" w:rsidRDefault="00731B40" w:rsidP="007F7899">
      <w:pPr>
        <w:pStyle w:val="ListParagraph"/>
        <w:widowControl w:val="0"/>
        <w:numPr>
          <w:ilvl w:val="1"/>
          <w:numId w:val="4"/>
        </w:numPr>
        <w:spacing w:before="100" w:beforeAutospacing="1" w:after="100" w:afterAutospacing="1" w:line="360" w:lineRule="auto"/>
        <w:ind w:left="360"/>
        <w:jc w:val="both"/>
        <w:rPr>
          <w:rFonts w:asciiTheme="majorBidi" w:hAnsiTheme="majorBidi" w:cstheme="majorBidi"/>
          <w:b/>
          <w:bCs/>
          <w:i/>
          <w:iCs/>
          <w:sz w:val="20"/>
          <w:szCs w:val="20"/>
        </w:rPr>
      </w:pPr>
      <w:r w:rsidRPr="007F7899">
        <w:rPr>
          <w:rFonts w:asciiTheme="majorBidi" w:hAnsiTheme="majorBidi" w:cstheme="majorBidi"/>
          <w:b/>
          <w:bCs/>
          <w:i/>
          <w:iCs/>
          <w:sz w:val="20"/>
          <w:szCs w:val="20"/>
        </w:rPr>
        <w:t>Betaglycan (TGF-β RIII)</w:t>
      </w:r>
      <w:r w:rsidR="007F7899" w:rsidRPr="007F7899">
        <w:rPr>
          <w:rFonts w:asciiTheme="majorBidi" w:hAnsiTheme="majorBidi" w:cstheme="majorBidi"/>
          <w:b/>
          <w:bCs/>
          <w:i/>
          <w:iCs/>
          <w:sz w:val="20"/>
          <w:szCs w:val="20"/>
        </w:rPr>
        <w:t xml:space="preserve"> </w:t>
      </w:r>
    </w:p>
    <w:p w:rsidR="00F92860" w:rsidRPr="007F7899" w:rsidRDefault="00F92860"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Betaglycan is Transforming Growth Factor Beta receptor III (TGFBR3)</w:t>
      </w:r>
      <w:r w:rsidR="00C9682E" w:rsidRPr="007F7899">
        <w:rPr>
          <w:rFonts w:asciiTheme="majorBidi" w:hAnsiTheme="majorBidi" w:cstheme="majorBidi"/>
          <w:sz w:val="20"/>
          <w:szCs w:val="20"/>
        </w:rPr>
        <w:t>,</w:t>
      </w:r>
      <w:r w:rsidR="00B25D42" w:rsidRPr="007F7899">
        <w:rPr>
          <w:rFonts w:asciiTheme="majorBidi" w:hAnsiTheme="majorBidi" w:cstheme="majorBidi"/>
          <w:sz w:val="20"/>
          <w:szCs w:val="20"/>
        </w:rPr>
        <w:t xml:space="preserve"> </w:t>
      </w:r>
      <w:r w:rsidR="00C9682E" w:rsidRPr="007F7899">
        <w:rPr>
          <w:rFonts w:asciiTheme="majorBidi" w:hAnsiTheme="majorBidi" w:cstheme="majorBidi"/>
          <w:sz w:val="20"/>
          <w:szCs w:val="20"/>
        </w:rPr>
        <w:t>(</w:t>
      </w:r>
      <w:r w:rsidR="00B25D42" w:rsidRPr="007F7899">
        <w:rPr>
          <w:rFonts w:asciiTheme="majorBidi" w:hAnsiTheme="majorBidi" w:cstheme="majorBidi"/>
          <w:sz w:val="20"/>
          <w:szCs w:val="20"/>
        </w:rPr>
        <w:t>figure-3</w:t>
      </w:r>
      <w:r w:rsidR="00C9682E" w:rsidRPr="007F7899">
        <w:rPr>
          <w:rFonts w:asciiTheme="majorBidi" w:hAnsiTheme="majorBidi" w:cstheme="majorBidi"/>
          <w:sz w:val="20"/>
          <w:szCs w:val="20"/>
        </w:rPr>
        <w:t>)</w:t>
      </w:r>
      <w:r w:rsidRPr="007F7899">
        <w:rPr>
          <w:rFonts w:asciiTheme="majorBidi" w:hAnsiTheme="majorBidi" w:cstheme="majorBidi"/>
          <w:sz w:val="20"/>
          <w:szCs w:val="20"/>
        </w:rPr>
        <w:t xml:space="preserve"> and identified as an accessory receptor for the  TGFβs  is a cell-surface chondroitin sulfate / heparan sulfate proteoglycan, its mole</w:t>
      </w:r>
      <w:r w:rsidR="009D1247" w:rsidRPr="007F7899">
        <w:rPr>
          <w:rFonts w:asciiTheme="majorBidi" w:hAnsiTheme="majorBidi" w:cstheme="majorBidi"/>
          <w:sz w:val="20"/>
          <w:szCs w:val="20"/>
        </w:rPr>
        <w:t>cular weight is about &gt;300 kDa.</w:t>
      </w:r>
      <w:r w:rsidR="00077F7C" w:rsidRPr="007F7899">
        <w:rPr>
          <w:rFonts w:asciiTheme="majorBidi" w:hAnsiTheme="majorBidi" w:cstheme="majorBidi"/>
          <w:sz w:val="20"/>
          <w:szCs w:val="20"/>
        </w:rPr>
        <w:t>(</w:t>
      </w:r>
      <w:r w:rsidR="009D1247" w:rsidRPr="007F7899">
        <w:rPr>
          <w:rFonts w:asciiTheme="majorBidi" w:hAnsiTheme="majorBidi" w:cstheme="majorBidi"/>
          <w:sz w:val="20"/>
          <w:szCs w:val="20"/>
        </w:rPr>
        <w:t>figure</w:t>
      </w:r>
      <w:r w:rsidR="00077F7C" w:rsidRPr="007F7899">
        <w:rPr>
          <w:rFonts w:asciiTheme="majorBidi" w:hAnsiTheme="majorBidi" w:cstheme="majorBidi"/>
          <w:sz w:val="20"/>
          <w:szCs w:val="20"/>
        </w:rPr>
        <w:t xml:space="preserve"> 3</w:t>
      </w:r>
      <w:r w:rsidR="008D4F9F" w:rsidRPr="007F7899">
        <w:rPr>
          <w:rFonts w:asciiTheme="majorBidi" w:hAnsiTheme="majorBidi" w:cstheme="majorBidi"/>
          <w:sz w:val="20"/>
          <w:szCs w:val="20"/>
        </w:rPr>
        <w:t>,10</w:t>
      </w:r>
      <w:r w:rsidR="00077F7C" w:rsidRPr="007F7899">
        <w:rPr>
          <w:rFonts w:asciiTheme="majorBidi" w:hAnsiTheme="majorBidi" w:cstheme="majorBidi"/>
          <w:sz w:val="20"/>
          <w:szCs w:val="20"/>
        </w:rPr>
        <w:t>)</w:t>
      </w:r>
      <w:r w:rsidR="009D1247" w:rsidRPr="007F7899">
        <w:rPr>
          <w:rFonts w:asciiTheme="majorBidi" w:hAnsiTheme="majorBidi" w:cstheme="majorBidi"/>
          <w:sz w:val="20"/>
          <w:szCs w:val="20"/>
        </w:rPr>
        <w:t>.</w:t>
      </w:r>
      <w:r w:rsidRPr="007F7899">
        <w:rPr>
          <w:rFonts w:asciiTheme="majorBidi" w:hAnsiTheme="majorBidi" w:cstheme="majorBidi"/>
          <w:sz w:val="20"/>
          <w:szCs w:val="20"/>
        </w:rPr>
        <w:t xml:space="preserve"> It is a </w:t>
      </w:r>
      <w:proofErr w:type="gramStart"/>
      <w:r w:rsidRPr="007F7899">
        <w:rPr>
          <w:rFonts w:asciiTheme="majorBidi" w:hAnsiTheme="majorBidi" w:cstheme="majorBidi"/>
          <w:sz w:val="20"/>
          <w:szCs w:val="20"/>
        </w:rPr>
        <w:t>transmembrane  proteoglycan</w:t>
      </w:r>
      <w:proofErr w:type="gramEnd"/>
      <w:r w:rsidRPr="007F7899">
        <w:rPr>
          <w:rFonts w:asciiTheme="majorBidi" w:hAnsiTheme="majorBidi" w:cstheme="majorBidi"/>
          <w:sz w:val="20"/>
          <w:szCs w:val="20"/>
        </w:rPr>
        <w:t xml:space="preserve"> with a large extracellular domain that binds TGF-β with high affinity but lacks a cytoplasmic signaling domain </w:t>
      </w:r>
      <w:r w:rsidR="0062511A" w:rsidRPr="007F7899">
        <w:rPr>
          <w:rFonts w:asciiTheme="majorBidi" w:hAnsiTheme="majorBidi" w:cstheme="majorBidi"/>
          <w:sz w:val="20"/>
          <w:szCs w:val="20"/>
        </w:rPr>
        <w:t>[18</w:t>
      </w:r>
      <w:r w:rsidR="0073204D" w:rsidRPr="007F7899">
        <w:rPr>
          <w:rFonts w:asciiTheme="majorBidi" w:hAnsiTheme="majorBidi" w:cstheme="majorBidi"/>
          <w:sz w:val="20"/>
          <w:szCs w:val="20"/>
        </w:rPr>
        <w:t xml:space="preserve">]. </w:t>
      </w:r>
      <w:r w:rsidRPr="007F7899">
        <w:rPr>
          <w:rFonts w:asciiTheme="majorBidi" w:hAnsiTheme="majorBidi" w:cstheme="majorBidi"/>
          <w:sz w:val="20"/>
          <w:szCs w:val="20"/>
        </w:rPr>
        <w:t>It is formed from heparin and chondroitin sulphate, core protein, ectodomain part, with its N and C terminals binding t</w:t>
      </w:r>
      <w:r w:rsidR="00C9682E" w:rsidRPr="007F7899">
        <w:rPr>
          <w:rFonts w:asciiTheme="majorBidi" w:hAnsiTheme="majorBidi" w:cstheme="majorBidi"/>
          <w:sz w:val="20"/>
          <w:szCs w:val="20"/>
        </w:rPr>
        <w:t>o ECM and cytoskeleton (Figure 3</w:t>
      </w:r>
      <w:r w:rsidRPr="007F7899">
        <w:rPr>
          <w:rFonts w:asciiTheme="majorBidi" w:hAnsiTheme="majorBidi" w:cstheme="majorBidi"/>
          <w:sz w:val="20"/>
          <w:szCs w:val="20"/>
        </w:rPr>
        <w:t>). Betaglycan binds to various members of the TGF-beta of ligands by its superfamily core protein, and bFGF (basic fibroblast growth factor), via its heparan sulfate chains. It is not involved directly in TGF-beta signal transduction but by binding to different memb</w:t>
      </w:r>
      <w:r w:rsidR="00D13556" w:rsidRPr="007F7899">
        <w:rPr>
          <w:rFonts w:asciiTheme="majorBidi" w:hAnsiTheme="majorBidi" w:cstheme="majorBidi"/>
          <w:sz w:val="20"/>
          <w:szCs w:val="20"/>
        </w:rPr>
        <w:t xml:space="preserve">er of the TGF-beta superfamily </w:t>
      </w:r>
      <w:r w:rsidRPr="007F7899">
        <w:rPr>
          <w:rFonts w:asciiTheme="majorBidi" w:hAnsiTheme="majorBidi" w:cstheme="majorBidi"/>
          <w:sz w:val="20"/>
          <w:szCs w:val="20"/>
        </w:rPr>
        <w:t xml:space="preserve">at the </w:t>
      </w:r>
      <w:r w:rsidR="00D13556" w:rsidRPr="007F7899">
        <w:rPr>
          <w:rFonts w:asciiTheme="majorBidi" w:hAnsiTheme="majorBidi" w:cstheme="majorBidi"/>
          <w:sz w:val="20"/>
          <w:szCs w:val="20"/>
        </w:rPr>
        <w:t>C</w:t>
      </w:r>
      <w:r w:rsidRPr="007F7899">
        <w:rPr>
          <w:rFonts w:asciiTheme="majorBidi" w:hAnsiTheme="majorBidi" w:cstheme="majorBidi"/>
          <w:sz w:val="20"/>
          <w:szCs w:val="20"/>
        </w:rPr>
        <w:t>ell</w:t>
      </w:r>
      <w:r w:rsidR="00D13556" w:rsidRPr="007F7899">
        <w:rPr>
          <w:rFonts w:asciiTheme="majorBidi" w:hAnsiTheme="majorBidi" w:cstheme="majorBidi"/>
          <w:sz w:val="20"/>
          <w:szCs w:val="20"/>
        </w:rPr>
        <w:t xml:space="preserve"> </w:t>
      </w:r>
      <w:r w:rsidRPr="007F7899">
        <w:rPr>
          <w:rFonts w:asciiTheme="majorBidi" w:hAnsiTheme="majorBidi" w:cstheme="majorBidi"/>
          <w:sz w:val="20"/>
          <w:szCs w:val="20"/>
        </w:rPr>
        <w:t>surface</w:t>
      </w:r>
      <w:proofErr w:type="gramStart"/>
      <w:r w:rsidRPr="007F7899">
        <w:rPr>
          <w:rFonts w:asciiTheme="majorBidi" w:hAnsiTheme="majorBidi" w:cstheme="majorBidi"/>
          <w:sz w:val="20"/>
          <w:szCs w:val="20"/>
        </w:rPr>
        <w:t>,</w:t>
      </w:r>
      <w:r w:rsidR="00D13556"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 it</w:t>
      </w:r>
      <w:proofErr w:type="gramEnd"/>
      <w:r w:rsidRPr="007F7899">
        <w:rPr>
          <w:rFonts w:asciiTheme="majorBidi" w:hAnsiTheme="majorBidi" w:cstheme="majorBidi"/>
          <w:sz w:val="20"/>
          <w:szCs w:val="20"/>
        </w:rPr>
        <w:t xml:space="preserve"> acts as a reservoir o</w:t>
      </w:r>
      <w:r w:rsidR="00050F8C" w:rsidRPr="007F7899">
        <w:rPr>
          <w:rFonts w:asciiTheme="majorBidi" w:hAnsiTheme="majorBidi" w:cstheme="majorBidi"/>
          <w:sz w:val="20"/>
          <w:szCs w:val="20"/>
        </w:rPr>
        <w:t xml:space="preserve">f </w:t>
      </w:r>
      <w:r w:rsidR="0062511A" w:rsidRPr="007F7899">
        <w:rPr>
          <w:rFonts w:asciiTheme="majorBidi" w:hAnsiTheme="majorBidi" w:cstheme="majorBidi"/>
          <w:sz w:val="20"/>
          <w:szCs w:val="20"/>
        </w:rPr>
        <w:t>ligand for TGF-beta receptors[19</w:t>
      </w:r>
      <w:r w:rsidR="00050F8C" w:rsidRPr="007F7899">
        <w:rPr>
          <w:rFonts w:asciiTheme="majorBidi" w:hAnsiTheme="majorBidi" w:cstheme="majorBidi"/>
          <w:sz w:val="20"/>
          <w:szCs w:val="20"/>
        </w:rPr>
        <w:t>].</w:t>
      </w:r>
    </w:p>
    <w:p w:rsidR="00B8440C" w:rsidRPr="007F7899" w:rsidRDefault="00B8440C"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Betaglycan is known to be a proteoglycan TGF-β co-receptor for TGF-β ligands, it is undergoes ectodomaine cleavage and production of a soluble ectodomain fragment which is stable in presence </w:t>
      </w:r>
      <w:proofErr w:type="gramStart"/>
      <w:r w:rsidRPr="007F7899">
        <w:rPr>
          <w:rFonts w:asciiTheme="majorBidi" w:hAnsiTheme="majorBidi" w:cstheme="majorBidi"/>
          <w:sz w:val="20"/>
          <w:szCs w:val="20"/>
        </w:rPr>
        <w:t>of  betaglycan</w:t>
      </w:r>
      <w:proofErr w:type="gramEnd"/>
      <w:r w:rsidRPr="007F7899">
        <w:rPr>
          <w:rFonts w:asciiTheme="majorBidi" w:hAnsiTheme="majorBidi" w:cstheme="majorBidi"/>
          <w:sz w:val="20"/>
          <w:szCs w:val="20"/>
        </w:rPr>
        <w:t xml:space="preserve"> and if we </w:t>
      </w:r>
      <w:r w:rsidRPr="007F7899">
        <w:rPr>
          <w:rFonts w:asciiTheme="majorBidi" w:hAnsiTheme="majorBidi" w:cstheme="majorBidi"/>
          <w:sz w:val="20"/>
          <w:szCs w:val="20"/>
        </w:rPr>
        <w:lastRenderedPageBreak/>
        <w:t>treat the cells that express betaglycan with inhibitors of intramembrane protease γ-secretase, it stabilizes this fragment means that it is a γ-secretase substrate, all of these are independent of the effects of TGF-β.</w:t>
      </w:r>
    </w:p>
    <w:p w:rsidR="00B8440C" w:rsidRPr="007F7899" w:rsidRDefault="00B8440C"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So transmembrane-cytoplasmic fragment will be stable after betaglycan cleavage, this gives rise to an implication for TGF-β effects and response.</w:t>
      </w:r>
    </w:p>
    <w:p w:rsidR="00B8440C" w:rsidRPr="007F7899" w:rsidRDefault="00B8440C"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Betaglycan is important regulator of development, differentiation and tumor metastasis, it modulates some effects of TGF-β, it binds the three TGF-β isoforms through two binding sites on the core ectodomain also enhances TGF-β signalling by increasing affinity of the ligand forTGF-βII, </w:t>
      </w:r>
      <w:proofErr w:type="gramStart"/>
      <w:r w:rsidRPr="007F7899">
        <w:rPr>
          <w:rFonts w:asciiTheme="majorBidi" w:hAnsiTheme="majorBidi" w:cstheme="majorBidi"/>
          <w:sz w:val="20"/>
          <w:szCs w:val="20"/>
        </w:rPr>
        <w:t>on</w:t>
      </w:r>
      <w:proofErr w:type="gramEnd"/>
      <w:r w:rsidRPr="007F7899">
        <w:rPr>
          <w:rFonts w:asciiTheme="majorBidi" w:hAnsiTheme="majorBidi" w:cstheme="majorBidi"/>
          <w:sz w:val="20"/>
          <w:szCs w:val="20"/>
        </w:rPr>
        <w:t xml:space="preserve"> the other hand, it has also an inhibitory function by binding to TGF-β members. Betaglycan undergoes ligand-independent ectodomain shedding and a stable soluble fragment is produced which sequesters TGF-β. This fragment has got a therapeutic significant in some tumors and fibrosis as an inhibitor of TGF-β signaling. In addition to the betaglycan ectodomain it has also cytoplasmic domain which modulates TGF-β dependent and independent activation of p38/MAPK which still not well known, betaglycan also forms a complex with syndcan-2 which is important in regulating TGF-β signalling and fibrosis.</w:t>
      </w:r>
    </w:p>
    <w:p w:rsidR="00817C11" w:rsidRPr="007F7899" w:rsidRDefault="00817C11"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So investigations to explore the fate of betaglycan fragment after ectodomain cleavage is our target, so betaglycan ectodomain cleavage considered a substrate for γ-secretase and betaglycan transmembrane-cytoBetaglycan is known to be a proteoglycan TGF-β co-receptor for TGF-β ligands</w:t>
      </w:r>
      <w:r w:rsidR="00B46E5C" w:rsidRPr="007F7899">
        <w:rPr>
          <w:rFonts w:asciiTheme="majorBidi" w:hAnsiTheme="majorBidi" w:cstheme="majorBidi"/>
          <w:sz w:val="20"/>
          <w:szCs w:val="20"/>
        </w:rPr>
        <w:t>, transmembrane-cytoplasmic fragment will be stable after betaglycan cleavage, this gives rise to an implication for TGF-β effects and response.</w:t>
      </w:r>
    </w:p>
    <w:p w:rsidR="001C0E32" w:rsidRPr="007F7899" w:rsidRDefault="001C0E32"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Endogline despite of being functionally important, it is found in two forms, its mutation yields impaired coordination of TGF-β signalling complexes and play a role in controlling cell migration and adhesion composition.</w:t>
      </w:r>
    </w:p>
    <w:p w:rsidR="001C0E32" w:rsidRPr="007F7899" w:rsidRDefault="001C0E32"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Ectodomain shedding and γ-secretase-dependent release of an intracellular domain, an implication is important TGF-β signal </w:t>
      </w:r>
      <w:proofErr w:type="gramStart"/>
      <w:r w:rsidRPr="007F7899">
        <w:rPr>
          <w:rFonts w:asciiTheme="majorBidi" w:hAnsiTheme="majorBidi" w:cstheme="majorBidi"/>
          <w:sz w:val="20"/>
          <w:szCs w:val="20"/>
        </w:rPr>
        <w:t>transduction,</w:t>
      </w:r>
      <w:proofErr w:type="gramEnd"/>
      <w:r w:rsidRPr="007F7899">
        <w:rPr>
          <w:rFonts w:asciiTheme="majorBidi" w:hAnsiTheme="majorBidi" w:cstheme="majorBidi"/>
          <w:sz w:val="20"/>
          <w:szCs w:val="20"/>
        </w:rPr>
        <w:t xml:space="preserve"> on the other hand γ-secretase inhibition also has a significant impact on TGF-β signalling.  </w:t>
      </w:r>
    </w:p>
    <w:p w:rsidR="002D0FB9" w:rsidRPr="007F7899" w:rsidRDefault="002D0FB9"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Betaglcan species have opposing effects on TGF-β signalling whereby betaglyca</w:t>
      </w:r>
      <w:r w:rsidR="003E20CD" w:rsidRPr="007F7899">
        <w:rPr>
          <w:rFonts w:asciiTheme="majorBidi" w:hAnsiTheme="majorBidi" w:cstheme="majorBidi"/>
          <w:sz w:val="20"/>
          <w:szCs w:val="20"/>
        </w:rPr>
        <w:t xml:space="preserve">n serving as </w:t>
      </w:r>
      <w:proofErr w:type="gramStart"/>
      <w:r w:rsidR="003E20CD" w:rsidRPr="007F7899">
        <w:rPr>
          <w:rFonts w:asciiTheme="majorBidi" w:hAnsiTheme="majorBidi" w:cstheme="majorBidi"/>
          <w:sz w:val="20"/>
          <w:szCs w:val="20"/>
        </w:rPr>
        <w:t>( molecular</w:t>
      </w:r>
      <w:proofErr w:type="gramEnd"/>
      <w:r w:rsidR="003E20CD" w:rsidRPr="007F7899">
        <w:rPr>
          <w:rFonts w:asciiTheme="majorBidi" w:hAnsiTheme="majorBidi" w:cstheme="majorBidi"/>
          <w:sz w:val="20"/>
          <w:szCs w:val="20"/>
        </w:rPr>
        <w:t xml:space="preserve"> switch) .</w:t>
      </w:r>
      <w:r w:rsidRPr="007F7899">
        <w:rPr>
          <w:rFonts w:asciiTheme="majorBidi" w:hAnsiTheme="majorBidi" w:cstheme="majorBidi"/>
          <w:sz w:val="20"/>
          <w:szCs w:val="20"/>
        </w:rPr>
        <w:t xml:space="preserve">when isolated  betaglycan cytoplasmic domain is inhibited it leads to decrease TGF-β signaling through activation of the p38/MAPK pathway, so betaglycan has got an essential role in mediating the specificity of TGF-β signaling pathways.  </w:t>
      </w:r>
    </w:p>
    <w:p w:rsidR="003E20CD" w:rsidRPr="007F7899" w:rsidRDefault="00A61D9D"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The structure of betaglycan</w:t>
      </w:r>
      <w:proofErr w:type="gramStart"/>
      <w:r w:rsidRPr="007F7899">
        <w:rPr>
          <w:rFonts w:asciiTheme="majorBidi" w:hAnsiTheme="majorBidi" w:cstheme="majorBidi"/>
          <w:sz w:val="20"/>
          <w:szCs w:val="20"/>
        </w:rPr>
        <w:t>,</w:t>
      </w:r>
      <w:r w:rsidR="00C9682E" w:rsidRPr="007F7899">
        <w:rPr>
          <w:rFonts w:asciiTheme="majorBidi" w:hAnsiTheme="majorBidi" w:cstheme="majorBidi"/>
          <w:sz w:val="20"/>
          <w:szCs w:val="20"/>
        </w:rPr>
        <w:t>(</w:t>
      </w:r>
      <w:proofErr w:type="gramEnd"/>
      <w:r w:rsidR="00C9682E" w:rsidRPr="007F7899">
        <w:rPr>
          <w:rFonts w:asciiTheme="majorBidi" w:hAnsiTheme="majorBidi" w:cstheme="majorBidi"/>
          <w:sz w:val="20"/>
          <w:szCs w:val="20"/>
        </w:rPr>
        <w:t>figure 3)</w:t>
      </w:r>
      <w:r w:rsidRPr="007F7899">
        <w:rPr>
          <w:rFonts w:asciiTheme="majorBidi" w:hAnsiTheme="majorBidi" w:cstheme="majorBidi"/>
          <w:sz w:val="20"/>
          <w:szCs w:val="20"/>
        </w:rPr>
        <w:t xml:space="preserve"> is a polymorphic membrane-anchored proteoglycan with high affinity for transforming growth factor-β (TGF-β).  As produced from its cDNA sequence, the 853 amino acid core protein </w:t>
      </w:r>
      <w:proofErr w:type="gramStart"/>
      <w:r w:rsidRPr="007F7899">
        <w:rPr>
          <w:rFonts w:asciiTheme="majorBidi" w:hAnsiTheme="majorBidi" w:cstheme="majorBidi"/>
          <w:sz w:val="20"/>
          <w:szCs w:val="20"/>
        </w:rPr>
        <w:t>of</w:t>
      </w:r>
      <w:r w:rsidR="005E7EFC"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 betaglycan</w:t>
      </w:r>
      <w:proofErr w:type="gramEnd"/>
      <w:r w:rsidRPr="007F7899">
        <w:rPr>
          <w:rFonts w:asciiTheme="majorBidi" w:hAnsiTheme="majorBidi" w:cstheme="majorBidi"/>
          <w:sz w:val="20"/>
          <w:szCs w:val="20"/>
        </w:rPr>
        <w:t xml:space="preserve"> has an extracellular domain with different sites for glycosaminoglycan (GAG) chains attachment.</w:t>
      </w:r>
    </w:p>
    <w:p w:rsidR="009128D7" w:rsidRPr="007F7899" w:rsidRDefault="00A61D9D" w:rsidP="00001FDE">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Despite these chains not being necessarily important for TGF-β binding to the core protein, they are an important component of connective tissues, and may be covalently linked to a protein to form proteoglycans.</w:t>
      </w:r>
    </w:p>
    <w:p w:rsidR="003B031D" w:rsidRPr="007F7899" w:rsidRDefault="00A002D1" w:rsidP="00001FDE">
      <w:pPr>
        <w:widowControl w:val="0"/>
        <w:spacing w:before="100" w:beforeAutospacing="1" w:after="100" w:afterAutospacing="1" w:line="360" w:lineRule="auto"/>
        <w:jc w:val="center"/>
        <w:rPr>
          <w:rFonts w:asciiTheme="majorBidi" w:hAnsiTheme="majorBidi" w:cstheme="majorBidi"/>
          <w:sz w:val="20"/>
          <w:szCs w:val="20"/>
        </w:rPr>
      </w:pPr>
      <w:r w:rsidRPr="007F7899">
        <w:rPr>
          <w:rFonts w:asciiTheme="majorBidi" w:hAnsiTheme="majorBidi" w:cstheme="majorBidi"/>
          <w:noProof/>
          <w:sz w:val="20"/>
          <w:szCs w:val="20"/>
          <w:lang w:val="en-US"/>
        </w:rPr>
        <w:lastRenderedPageBreak/>
        <mc:AlternateContent>
          <mc:Choice Requires="wps">
            <w:drawing>
              <wp:anchor distT="0" distB="0" distL="114300" distR="114300" simplePos="0" relativeHeight="251685888" behindDoc="0" locked="0" layoutInCell="1" allowOverlap="1" wp14:anchorId="61B1E45E" wp14:editId="0092E1E3">
                <wp:simplePos x="0" y="0"/>
                <wp:positionH relativeFrom="column">
                  <wp:posOffset>962026</wp:posOffset>
                </wp:positionH>
                <wp:positionV relativeFrom="paragraph">
                  <wp:posOffset>1967865</wp:posOffset>
                </wp:positionV>
                <wp:extent cx="3905250" cy="304800"/>
                <wp:effectExtent l="0" t="0" r="0" b="0"/>
                <wp:wrapNone/>
                <wp:docPr id="51" name="مستطيل 51"/>
                <wp:cNvGraphicFramePr/>
                <a:graphic xmlns:a="http://schemas.openxmlformats.org/drawingml/2006/main">
                  <a:graphicData uri="http://schemas.microsoft.com/office/word/2010/wordprocessingShape">
                    <wps:wsp>
                      <wps:cNvSpPr/>
                      <wps:spPr>
                        <a:xfrm>
                          <a:off x="0" y="0"/>
                          <a:ext cx="3905250"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7F7899" w:rsidRPr="00A002D1" w:rsidRDefault="007F7899" w:rsidP="00A002D1">
                            <w:pPr>
                              <w:jc w:val="center"/>
                              <w:rPr>
                                <w:b/>
                                <w:bCs/>
                              </w:rPr>
                            </w:pPr>
                            <w:proofErr w:type="gramStart"/>
                            <w:r w:rsidRPr="00A002D1">
                              <w:rPr>
                                <w:b/>
                                <w:bCs/>
                              </w:rPr>
                              <w:t>(</w:t>
                            </w:r>
                            <w:r w:rsidRPr="00A002D1">
                              <w:rPr>
                                <w:rFonts w:ascii="Times New Roman" w:hAnsi="Times New Roman" w:cs="Times New Roman"/>
                                <w:b/>
                                <w:bCs/>
                                <w:sz w:val="20"/>
                                <w:szCs w:val="20"/>
                              </w:rPr>
                              <w:t>Adapted online at www.med.unibs.it/%7Eairc/hspgs.htm).</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51" o:spid="_x0000_s1026" style="position:absolute;left:0;text-align:left;margin-left:75.75pt;margin-top:154.95pt;width:307.5pt;height: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" fillcolor="white [3201]" stroked="f" strokeweight="2pt">
                <v:textbox>
                  <w:txbxContent>
                    <w:p w:rsidR="007F7899" w:rsidRPr="00A002D1" w:rsidRDefault="007F7899" w:rsidP="00A002D1">
                      <w:pPr>
                        <w:jc w:val="center"/>
                        <w:rPr>
                          <w:b/>
                          <w:bCs/>
                        </w:rPr>
                      </w:pPr>
                      <w:proofErr w:type="gramStart"/>
                      <w:r w:rsidRPr="00A002D1">
                        <w:rPr>
                          <w:b/>
                          <w:bCs/>
                        </w:rPr>
                        <w:t>(</w:t>
                      </w:r>
                      <w:r w:rsidRPr="00A002D1">
                        <w:rPr>
                          <w:rFonts w:ascii="Times New Roman" w:hAnsi="Times New Roman" w:cs="Times New Roman"/>
                          <w:b/>
                          <w:bCs/>
                          <w:sz w:val="20"/>
                          <w:szCs w:val="20"/>
                        </w:rPr>
                        <w:t>Adapted online at www.med.unibs.it/%7Eairc/hspgs.htm).</w:t>
                      </w:r>
                      <w:proofErr w:type="gramEnd"/>
                    </w:p>
                  </w:txbxContent>
                </v:textbox>
              </v:rect>
            </w:pict>
          </mc:Fallback>
        </mc:AlternateContent>
      </w:r>
      <w:r w:rsidR="003B031D" w:rsidRPr="007F7899">
        <w:rPr>
          <w:rFonts w:asciiTheme="majorBidi" w:hAnsiTheme="majorBidi" w:cstheme="majorBidi"/>
          <w:sz w:val="20"/>
          <w:szCs w:val="20"/>
        </w:rPr>
        <w:object w:dxaOrig="4446" w:dyaOrig="33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pt;height:145.2pt" o:ole="">
            <v:imagedata r:id="rId11" o:title=""/>
          </v:shape>
          <o:OLEObject Type="Embed" ProgID="PowerPoint.Slide.12" ShapeID="_x0000_i1025" DrawAspect="Content" ObjectID="_1606163057" r:id="rId12"/>
        </w:object>
      </w:r>
    </w:p>
    <w:p w:rsidR="00001FDE" w:rsidRDefault="00001FDE" w:rsidP="007F7899">
      <w:pPr>
        <w:widowControl w:val="0"/>
        <w:spacing w:before="100" w:beforeAutospacing="1" w:after="100" w:afterAutospacing="1" w:line="360" w:lineRule="auto"/>
        <w:jc w:val="both"/>
        <w:rPr>
          <w:rFonts w:asciiTheme="majorBidi" w:hAnsiTheme="majorBidi" w:cstheme="majorBidi"/>
          <w:sz w:val="20"/>
          <w:szCs w:val="20"/>
        </w:rPr>
      </w:pPr>
    </w:p>
    <w:p w:rsidR="00001FDE" w:rsidRPr="007F7899" w:rsidRDefault="00001FDE" w:rsidP="00001FDE">
      <w:pPr>
        <w:widowControl w:val="0"/>
        <w:spacing w:before="100" w:beforeAutospacing="1" w:after="100" w:afterAutospacing="1" w:line="360" w:lineRule="auto"/>
        <w:jc w:val="center"/>
        <w:rPr>
          <w:rFonts w:asciiTheme="majorBidi" w:hAnsiTheme="majorBidi" w:cstheme="majorBidi"/>
          <w:sz w:val="20"/>
          <w:szCs w:val="20"/>
        </w:rPr>
      </w:pPr>
      <w:r w:rsidRPr="007F7899">
        <w:rPr>
          <w:rFonts w:asciiTheme="majorBidi" w:hAnsiTheme="majorBidi" w:cstheme="majorBidi"/>
          <w:b/>
          <w:bCs/>
          <w:sz w:val="20"/>
          <w:szCs w:val="20"/>
        </w:rPr>
        <w:t>Figure</w:t>
      </w:r>
      <w:r>
        <w:rPr>
          <w:rFonts w:asciiTheme="majorBidi" w:hAnsiTheme="majorBidi" w:cstheme="majorBidi"/>
          <w:b/>
          <w:bCs/>
          <w:sz w:val="20"/>
          <w:szCs w:val="20"/>
        </w:rPr>
        <w:t xml:space="preserve"> 3</w:t>
      </w:r>
      <w:r w:rsidRPr="007F7899">
        <w:rPr>
          <w:rFonts w:asciiTheme="majorBidi" w:hAnsiTheme="majorBidi" w:cstheme="majorBidi"/>
          <w:b/>
          <w:bCs/>
          <w:sz w:val="20"/>
          <w:szCs w:val="20"/>
        </w:rPr>
        <w:t>:</w:t>
      </w:r>
      <w:r w:rsidRPr="007F7899">
        <w:rPr>
          <w:rFonts w:asciiTheme="majorBidi" w:hAnsiTheme="majorBidi" w:cstheme="majorBidi"/>
          <w:sz w:val="20"/>
          <w:szCs w:val="20"/>
        </w:rPr>
        <w:t xml:space="preserve"> </w:t>
      </w:r>
      <w:r w:rsidRPr="00001FDE">
        <w:rPr>
          <w:rFonts w:asciiTheme="majorBidi" w:hAnsiTheme="majorBidi" w:cstheme="majorBidi"/>
          <w:sz w:val="20"/>
          <w:szCs w:val="20"/>
        </w:rPr>
        <w:t>Structure of betaglycan</w:t>
      </w:r>
      <w:r>
        <w:rPr>
          <w:rFonts w:asciiTheme="majorBidi" w:hAnsiTheme="majorBidi" w:cstheme="majorBidi"/>
          <w:b/>
          <w:bCs/>
          <w:sz w:val="20"/>
          <w:szCs w:val="20"/>
        </w:rPr>
        <w:t xml:space="preserve"> </w:t>
      </w:r>
    </w:p>
    <w:p w:rsidR="00BA67DE" w:rsidRPr="007F7899" w:rsidRDefault="00AF5CA2"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B</w:t>
      </w:r>
      <w:r w:rsidR="00A25985" w:rsidRPr="007F7899">
        <w:rPr>
          <w:rFonts w:asciiTheme="majorBidi" w:hAnsiTheme="majorBidi" w:cstheme="majorBidi"/>
          <w:sz w:val="20"/>
          <w:szCs w:val="20"/>
        </w:rPr>
        <w:t xml:space="preserve">etaglycan appears to deliver TGF-β to the signaling receptors </w:t>
      </w:r>
      <w:r w:rsidR="0062511A" w:rsidRPr="007F7899">
        <w:rPr>
          <w:rFonts w:asciiTheme="majorBidi" w:hAnsiTheme="majorBidi" w:cstheme="majorBidi"/>
          <w:sz w:val="20"/>
          <w:szCs w:val="20"/>
        </w:rPr>
        <w:t>[20</w:t>
      </w:r>
      <w:r w:rsidR="0016047B" w:rsidRPr="007F7899">
        <w:rPr>
          <w:rFonts w:asciiTheme="majorBidi" w:hAnsiTheme="majorBidi" w:cstheme="majorBidi"/>
          <w:sz w:val="20"/>
          <w:szCs w:val="20"/>
        </w:rPr>
        <w:t xml:space="preserve">]. </w:t>
      </w:r>
      <w:r w:rsidR="00A25985" w:rsidRPr="007F7899">
        <w:rPr>
          <w:rFonts w:asciiTheme="majorBidi" w:hAnsiTheme="majorBidi" w:cstheme="majorBidi"/>
          <w:sz w:val="20"/>
          <w:szCs w:val="20"/>
        </w:rPr>
        <w:t>Betaglycan binds</w:t>
      </w:r>
      <w:r w:rsidR="00904F37" w:rsidRPr="007F7899">
        <w:rPr>
          <w:rFonts w:asciiTheme="majorBidi" w:hAnsiTheme="majorBidi" w:cstheme="majorBidi"/>
          <w:sz w:val="20"/>
          <w:szCs w:val="20"/>
        </w:rPr>
        <w:t xml:space="preserve"> TG</w:t>
      </w:r>
      <w:r w:rsidR="003E1EE1" w:rsidRPr="007F7899">
        <w:rPr>
          <w:rFonts w:asciiTheme="majorBidi" w:hAnsiTheme="majorBidi" w:cstheme="majorBidi"/>
          <w:sz w:val="20"/>
          <w:szCs w:val="20"/>
        </w:rPr>
        <w:t>F-β through the core protein [21</w:t>
      </w:r>
      <w:r w:rsidR="00904F37" w:rsidRPr="007F7899">
        <w:rPr>
          <w:rFonts w:asciiTheme="majorBidi" w:hAnsiTheme="majorBidi" w:cstheme="majorBidi"/>
          <w:sz w:val="20"/>
          <w:szCs w:val="20"/>
        </w:rPr>
        <w:t xml:space="preserve">]. </w:t>
      </w:r>
      <w:r w:rsidR="00A25985" w:rsidRPr="007F7899">
        <w:rPr>
          <w:rFonts w:asciiTheme="majorBidi" w:hAnsiTheme="majorBidi" w:cstheme="majorBidi"/>
          <w:sz w:val="20"/>
          <w:szCs w:val="20"/>
        </w:rPr>
        <w:t>The localization of the TGF-β-binding site in betaglycan is unclear.</w:t>
      </w:r>
      <w:r w:rsidR="006D05F0" w:rsidRPr="007F7899">
        <w:rPr>
          <w:rFonts w:asciiTheme="majorBidi" w:hAnsiTheme="majorBidi" w:cstheme="majorBidi"/>
          <w:sz w:val="20"/>
          <w:szCs w:val="20"/>
        </w:rPr>
        <w:t xml:space="preserve"> There are at least two independently active TGF-β binding sites in betaglycan, one in the N-terminal two thirds of the extracellular domain of betaglycan and another in the C-terminal one-third.</w:t>
      </w:r>
      <w:r w:rsidR="00FE3AF5" w:rsidRPr="007F7899">
        <w:rPr>
          <w:rFonts w:asciiTheme="majorBidi" w:hAnsiTheme="majorBidi" w:cstheme="majorBidi"/>
          <w:sz w:val="20"/>
          <w:szCs w:val="20"/>
        </w:rPr>
        <w:t xml:space="preserve"> These binding sites exhibit similar binding specificities and representing the N-terminal and C-terminal binding sites enhance the bioactivity of TGF-β. This enhancing effect was </w:t>
      </w:r>
      <w:r w:rsidR="00BA67DE" w:rsidRPr="007F7899">
        <w:rPr>
          <w:rFonts w:asciiTheme="majorBidi" w:hAnsiTheme="majorBidi" w:cstheme="majorBidi"/>
          <w:sz w:val="20"/>
          <w:szCs w:val="20"/>
        </w:rPr>
        <w:t>observed not only in the growth</w:t>
      </w:r>
    </w:p>
    <w:p w:rsidR="00956155" w:rsidRPr="007F7899" w:rsidRDefault="00FE3AF5" w:rsidP="007F7899">
      <w:pPr>
        <w:widowControl w:val="0"/>
        <w:spacing w:before="100" w:beforeAutospacing="1" w:after="100" w:afterAutospacing="1" w:line="360" w:lineRule="auto"/>
        <w:jc w:val="both"/>
        <w:rPr>
          <w:rFonts w:asciiTheme="majorBidi" w:hAnsiTheme="majorBidi" w:cstheme="majorBidi"/>
          <w:sz w:val="20"/>
          <w:szCs w:val="20"/>
        </w:rPr>
      </w:pPr>
      <w:proofErr w:type="gramStart"/>
      <w:r w:rsidRPr="007F7899">
        <w:rPr>
          <w:rFonts w:asciiTheme="majorBidi" w:hAnsiTheme="majorBidi" w:cstheme="majorBidi"/>
          <w:sz w:val="20"/>
          <w:szCs w:val="20"/>
        </w:rPr>
        <w:t>inhibitory</w:t>
      </w:r>
      <w:proofErr w:type="gramEnd"/>
      <w:r w:rsidRPr="007F7899">
        <w:rPr>
          <w:rFonts w:asciiTheme="majorBidi" w:hAnsiTheme="majorBidi" w:cstheme="majorBidi"/>
          <w:sz w:val="20"/>
          <w:szCs w:val="20"/>
        </w:rPr>
        <w:t xml:space="preserve"> activity of TGF-β but also in the stimulatin</w:t>
      </w:r>
      <w:r w:rsidR="00956155" w:rsidRPr="007F7899">
        <w:rPr>
          <w:rFonts w:asciiTheme="majorBidi" w:hAnsiTheme="majorBidi" w:cstheme="majorBidi"/>
          <w:sz w:val="20"/>
          <w:szCs w:val="20"/>
        </w:rPr>
        <w:t>g effect of TGF-β on the matrix</w:t>
      </w:r>
    </w:p>
    <w:p w:rsidR="00956155" w:rsidRPr="007F7899" w:rsidRDefault="00FE3AF5" w:rsidP="007F7899">
      <w:pPr>
        <w:widowControl w:val="0"/>
        <w:spacing w:before="100" w:beforeAutospacing="1" w:after="100" w:afterAutospacing="1" w:line="360" w:lineRule="auto"/>
        <w:jc w:val="both"/>
        <w:rPr>
          <w:rFonts w:asciiTheme="majorBidi" w:hAnsiTheme="majorBidi" w:cstheme="majorBidi"/>
          <w:sz w:val="20"/>
          <w:szCs w:val="20"/>
        </w:rPr>
      </w:pPr>
      <w:proofErr w:type="gramStart"/>
      <w:r w:rsidRPr="007F7899">
        <w:rPr>
          <w:rFonts w:asciiTheme="majorBidi" w:hAnsiTheme="majorBidi" w:cstheme="majorBidi"/>
          <w:sz w:val="20"/>
          <w:szCs w:val="20"/>
        </w:rPr>
        <w:t>synthesis</w:t>
      </w:r>
      <w:proofErr w:type="gramEnd"/>
      <w:r w:rsidRPr="007F7899">
        <w:rPr>
          <w:rFonts w:asciiTheme="majorBidi" w:hAnsiTheme="majorBidi" w:cstheme="majorBidi"/>
          <w:sz w:val="20"/>
          <w:szCs w:val="20"/>
        </w:rPr>
        <w:t>.</w:t>
      </w:r>
      <w:r w:rsidR="00956155" w:rsidRPr="007F7899">
        <w:rPr>
          <w:rFonts w:asciiTheme="majorBidi" w:hAnsiTheme="majorBidi" w:cstheme="majorBidi"/>
          <w:sz w:val="20"/>
          <w:szCs w:val="20"/>
        </w:rPr>
        <w:t xml:space="preserve"> In addition to a membrane-bound form, there is a soluble form </w:t>
      </w:r>
      <w:proofErr w:type="gramStart"/>
      <w:r w:rsidR="00956155" w:rsidRPr="007F7899">
        <w:rPr>
          <w:rFonts w:asciiTheme="majorBidi" w:hAnsiTheme="majorBidi" w:cstheme="majorBidi"/>
          <w:sz w:val="20"/>
          <w:szCs w:val="20"/>
        </w:rPr>
        <w:t xml:space="preserve">of </w:t>
      </w:r>
      <w:r w:rsidR="0054194D" w:rsidRPr="007F7899">
        <w:rPr>
          <w:rFonts w:asciiTheme="majorBidi" w:hAnsiTheme="majorBidi" w:cstheme="majorBidi"/>
          <w:sz w:val="20"/>
          <w:szCs w:val="20"/>
        </w:rPr>
        <w:t xml:space="preserve"> </w:t>
      </w:r>
      <w:r w:rsidR="00956155" w:rsidRPr="007F7899">
        <w:rPr>
          <w:rFonts w:asciiTheme="majorBidi" w:hAnsiTheme="majorBidi" w:cstheme="majorBidi"/>
          <w:sz w:val="20"/>
          <w:szCs w:val="20"/>
        </w:rPr>
        <w:t>betaglycan</w:t>
      </w:r>
      <w:proofErr w:type="gramEnd"/>
      <w:r w:rsidR="00956155" w:rsidRPr="007F7899">
        <w:rPr>
          <w:rFonts w:asciiTheme="majorBidi" w:hAnsiTheme="majorBidi" w:cstheme="majorBidi"/>
          <w:sz w:val="20"/>
          <w:szCs w:val="20"/>
        </w:rPr>
        <w:t xml:space="preserve"> as well, generated by the ectodomain shedding of the cell surface receptor. Although the membrane-bound form presents ligand, the soluble form is thought to sequester ligand from the serine/threonine TGF-ß signalling receptors. </w:t>
      </w:r>
    </w:p>
    <w:p w:rsidR="00A25985" w:rsidRPr="007F7899" w:rsidRDefault="00956155"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This sequestering role may be of benefit in later stage tumours, where excess TGF-β may assist in tumour growth by enhancing epithelial to mesenchymal transitions, MMP (Matrix metalloproteinase) expression, and basement membrane degradation </w:t>
      </w:r>
      <w:r w:rsidR="003E1EE1" w:rsidRPr="007F7899">
        <w:rPr>
          <w:rFonts w:asciiTheme="majorBidi" w:hAnsiTheme="majorBidi" w:cstheme="majorBidi"/>
          <w:sz w:val="20"/>
          <w:szCs w:val="20"/>
        </w:rPr>
        <w:t>[22</w:t>
      </w:r>
      <w:r w:rsidR="00B54A39" w:rsidRPr="007F7899">
        <w:rPr>
          <w:rFonts w:asciiTheme="majorBidi" w:hAnsiTheme="majorBidi" w:cstheme="majorBidi"/>
          <w:sz w:val="20"/>
          <w:szCs w:val="20"/>
        </w:rPr>
        <w:t>].</w:t>
      </w:r>
    </w:p>
    <w:p w:rsidR="00FE5AD8" w:rsidRPr="007F7899" w:rsidRDefault="000F5941"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Furthermore,  betaglycan, a cell surface heparan sulphate proteoglycan, is traditionally thought to function by binding transforming growth factor type β (TGF-β) via its core protein and then transferring the growth factor to its signalling receptor, the type II receptor.</w:t>
      </w:r>
      <w:r w:rsidR="00FE5AD8" w:rsidRPr="007F7899">
        <w:rPr>
          <w:rFonts w:asciiTheme="majorBidi" w:hAnsiTheme="majorBidi" w:cstheme="majorBidi"/>
          <w:sz w:val="20"/>
          <w:szCs w:val="20"/>
        </w:rPr>
        <w:t xml:space="preserve"> Betaglycan induces TGF-β signalling in a ligand-independent manner, through activation of the p38 pathway).</w:t>
      </w:r>
    </w:p>
    <w:p w:rsidR="00D74E08" w:rsidRPr="00001FDE" w:rsidRDefault="00001FDE" w:rsidP="00001FDE">
      <w:pPr>
        <w:pStyle w:val="ListParagraph"/>
        <w:widowControl w:val="0"/>
        <w:numPr>
          <w:ilvl w:val="1"/>
          <w:numId w:val="4"/>
        </w:numPr>
        <w:spacing w:before="100" w:beforeAutospacing="1" w:after="100" w:afterAutospacing="1" w:line="360" w:lineRule="auto"/>
        <w:ind w:left="360"/>
        <w:jc w:val="both"/>
        <w:rPr>
          <w:rFonts w:asciiTheme="majorBidi" w:hAnsiTheme="majorBidi" w:cstheme="majorBidi"/>
          <w:b/>
          <w:bCs/>
          <w:i/>
          <w:iCs/>
          <w:sz w:val="20"/>
          <w:szCs w:val="20"/>
        </w:rPr>
      </w:pPr>
      <w:r w:rsidRPr="00001FDE">
        <w:rPr>
          <w:rFonts w:asciiTheme="majorBidi" w:hAnsiTheme="majorBidi" w:cstheme="majorBidi"/>
          <w:b/>
          <w:bCs/>
          <w:i/>
          <w:iCs/>
          <w:sz w:val="20"/>
          <w:szCs w:val="20"/>
        </w:rPr>
        <w:t xml:space="preserve">Betaglycan and Renal fibrosis </w:t>
      </w:r>
    </w:p>
    <w:p w:rsidR="000852B1" w:rsidRPr="007F7899" w:rsidRDefault="000852B1" w:rsidP="007F7899">
      <w:pPr>
        <w:widowControl w:val="0"/>
        <w:spacing w:before="100" w:beforeAutospacing="1" w:after="100" w:afterAutospacing="1" w:line="360" w:lineRule="auto"/>
        <w:jc w:val="both"/>
        <w:rPr>
          <w:rFonts w:asciiTheme="majorBidi" w:hAnsiTheme="majorBidi" w:cstheme="majorBidi"/>
          <w:b/>
          <w:bCs/>
          <w:sz w:val="20"/>
          <w:szCs w:val="20"/>
        </w:rPr>
      </w:pPr>
      <w:r w:rsidRPr="007F7899">
        <w:rPr>
          <w:rFonts w:asciiTheme="majorBidi" w:hAnsiTheme="majorBidi" w:cstheme="majorBidi"/>
          <w:sz w:val="20"/>
          <w:szCs w:val="20"/>
        </w:rPr>
        <w:t xml:space="preserve">Transforming growth factor-β (TGF-β) is a key mediator in the pathogenesis of renal diseases. </w:t>
      </w:r>
      <w:proofErr w:type="gramStart"/>
      <w:r w:rsidRPr="007F7899">
        <w:rPr>
          <w:rFonts w:asciiTheme="majorBidi" w:hAnsiTheme="majorBidi" w:cstheme="majorBidi"/>
          <w:sz w:val="20"/>
          <w:szCs w:val="20"/>
        </w:rPr>
        <w:t>Betaglycan, which is a type III TGF-β receptor and regulates TGF-β action by modulating its access to the type I and II receptors.</w:t>
      </w:r>
      <w:proofErr w:type="gramEnd"/>
      <w:r w:rsidRPr="007F7899">
        <w:rPr>
          <w:rFonts w:asciiTheme="majorBidi" w:hAnsiTheme="majorBidi" w:cstheme="majorBidi"/>
          <w:sz w:val="20"/>
          <w:szCs w:val="20"/>
        </w:rPr>
        <w:t xml:space="preserve">  Betaglycan potentiates TGF-β; however, soluble betaglycan, which is produced by the shedding of the membrane-bound receptor, is a potent antagonist of TGF-β. This was documented to prevent renal damage </w:t>
      </w:r>
      <w:r w:rsidRPr="007F7899">
        <w:rPr>
          <w:rFonts w:asciiTheme="majorBidi" w:hAnsiTheme="majorBidi" w:cstheme="majorBidi"/>
          <w:sz w:val="20"/>
          <w:szCs w:val="20"/>
        </w:rPr>
        <w:lastRenderedPageBreak/>
        <w:t xml:space="preserve">in genetically obese and diabetic db/db mice, Because SBG (Soluble betaglycan) has a high affinity for all TGF-β isoforms, in particular TGF-β2, it is found naturally in serum and tissues and its shedding may be regulated. It is believed that SBG will prove convenient for long-term treatment of kidney diseases and other pathologies in which TGF-β plays a </w:t>
      </w:r>
      <w:proofErr w:type="gramStart"/>
      <w:r w:rsidRPr="007F7899">
        <w:rPr>
          <w:rFonts w:asciiTheme="majorBidi" w:hAnsiTheme="majorBidi" w:cstheme="majorBidi"/>
          <w:sz w:val="20"/>
          <w:szCs w:val="20"/>
        </w:rPr>
        <w:t>pathophysiological  role</w:t>
      </w:r>
      <w:proofErr w:type="gramEnd"/>
      <w:r w:rsidRPr="007F7899">
        <w:rPr>
          <w:rFonts w:asciiTheme="majorBidi" w:hAnsiTheme="majorBidi" w:cstheme="majorBidi"/>
          <w:sz w:val="20"/>
          <w:szCs w:val="20"/>
        </w:rPr>
        <w:t>, as it occurs as a Proteoglycan Heparan sulfate (HS) which is a linear polysaccharide found in all animal tissues.  It occurs as a PG in which two or three HS chains are attached in close proximity to cell surface or extrac</w:t>
      </w:r>
      <w:r w:rsidR="003E1EE1" w:rsidRPr="007F7899">
        <w:rPr>
          <w:rFonts w:asciiTheme="majorBidi" w:hAnsiTheme="majorBidi" w:cstheme="majorBidi"/>
          <w:sz w:val="20"/>
          <w:szCs w:val="20"/>
        </w:rPr>
        <w:t xml:space="preserve">ellular matrix </w:t>
      </w:r>
      <w:proofErr w:type="gramStart"/>
      <w:r w:rsidR="003E1EE1" w:rsidRPr="007F7899">
        <w:rPr>
          <w:rFonts w:asciiTheme="majorBidi" w:hAnsiTheme="majorBidi" w:cstheme="majorBidi"/>
          <w:sz w:val="20"/>
          <w:szCs w:val="20"/>
        </w:rPr>
        <w:t>proteins[</w:t>
      </w:r>
      <w:proofErr w:type="gramEnd"/>
      <w:r w:rsidR="003E1EE1" w:rsidRPr="007F7899">
        <w:rPr>
          <w:rFonts w:asciiTheme="majorBidi" w:hAnsiTheme="majorBidi" w:cstheme="majorBidi"/>
          <w:sz w:val="20"/>
          <w:szCs w:val="20"/>
        </w:rPr>
        <w:t>23</w:t>
      </w:r>
      <w:r w:rsidR="00B54A39" w:rsidRPr="007F7899">
        <w:rPr>
          <w:rFonts w:asciiTheme="majorBidi" w:hAnsiTheme="majorBidi" w:cstheme="majorBidi"/>
          <w:sz w:val="20"/>
          <w:szCs w:val="20"/>
        </w:rPr>
        <w:t>].</w:t>
      </w:r>
    </w:p>
    <w:p w:rsidR="00B43474" w:rsidRPr="007F7899" w:rsidRDefault="00B43474"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The major cell membrane HSPGs are the transmembrane syndecans (GPI) anchored glypicans. Other forms of membrane HSPG include betaglycan</w:t>
      </w:r>
      <w:r w:rsidR="003E1EE1" w:rsidRPr="007F7899">
        <w:rPr>
          <w:rFonts w:asciiTheme="majorBidi" w:hAnsiTheme="majorBidi" w:cstheme="majorBidi"/>
          <w:sz w:val="20"/>
          <w:szCs w:val="20"/>
        </w:rPr>
        <w:t xml:space="preserve"> </w:t>
      </w:r>
      <w:r w:rsidR="00492B5D" w:rsidRPr="007F7899">
        <w:rPr>
          <w:rFonts w:asciiTheme="majorBidi" w:hAnsiTheme="majorBidi" w:cstheme="majorBidi"/>
          <w:sz w:val="20"/>
          <w:szCs w:val="20"/>
        </w:rPr>
        <w:t xml:space="preserve">and the glycosylphosphatidylinositol </w:t>
      </w:r>
      <w:r w:rsidR="003E1EE1" w:rsidRPr="007F7899">
        <w:rPr>
          <w:rFonts w:asciiTheme="majorBidi" w:hAnsiTheme="majorBidi" w:cstheme="majorBidi"/>
          <w:sz w:val="20"/>
          <w:szCs w:val="20"/>
        </w:rPr>
        <w:t>[24</w:t>
      </w:r>
      <w:proofErr w:type="gramStart"/>
      <w:r w:rsidR="003E1EE1" w:rsidRPr="007F7899">
        <w:rPr>
          <w:rFonts w:asciiTheme="majorBidi" w:hAnsiTheme="majorBidi" w:cstheme="majorBidi"/>
          <w:sz w:val="20"/>
          <w:szCs w:val="20"/>
        </w:rPr>
        <w:t>]</w:t>
      </w:r>
      <w:r w:rsidRPr="007F7899">
        <w:rPr>
          <w:rFonts w:asciiTheme="majorBidi" w:hAnsiTheme="majorBidi" w:cstheme="majorBidi"/>
          <w:sz w:val="20"/>
          <w:szCs w:val="20"/>
        </w:rPr>
        <w:t xml:space="preserve"> </w:t>
      </w:r>
      <w:r w:rsidR="00FC0987" w:rsidRPr="007F7899">
        <w:rPr>
          <w:rFonts w:asciiTheme="majorBidi" w:hAnsiTheme="majorBidi" w:cstheme="majorBidi"/>
          <w:sz w:val="20"/>
          <w:szCs w:val="20"/>
        </w:rPr>
        <w:t>.</w:t>
      </w:r>
      <w:proofErr w:type="gramEnd"/>
    </w:p>
    <w:p w:rsidR="00B43474" w:rsidRPr="007F7899" w:rsidRDefault="00C45DE0"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In contrast to membrane betaglycan, SBG inhibits TGF-β binding to kinase receptors and thereby works as a TGF-β antagonist </w:t>
      </w:r>
      <w:r w:rsidR="003E1EE1" w:rsidRPr="007F7899">
        <w:rPr>
          <w:rFonts w:asciiTheme="majorBidi" w:hAnsiTheme="majorBidi" w:cstheme="majorBidi"/>
          <w:sz w:val="20"/>
          <w:szCs w:val="20"/>
        </w:rPr>
        <w:t>[25</w:t>
      </w:r>
      <w:r w:rsidR="006E2629"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The administration of SBG to db/db mice, </w:t>
      </w:r>
      <w:proofErr w:type="gramStart"/>
      <w:r w:rsidRPr="007F7899">
        <w:rPr>
          <w:rFonts w:asciiTheme="majorBidi" w:hAnsiTheme="majorBidi" w:cstheme="majorBidi"/>
          <w:sz w:val="20"/>
          <w:szCs w:val="20"/>
        </w:rPr>
        <w:t>resulted  in</w:t>
      </w:r>
      <w:proofErr w:type="gramEnd"/>
      <w:r w:rsidRPr="007F7899">
        <w:rPr>
          <w:rFonts w:asciiTheme="majorBidi" w:hAnsiTheme="majorBidi" w:cstheme="majorBidi"/>
          <w:sz w:val="20"/>
          <w:szCs w:val="20"/>
        </w:rPr>
        <w:t xml:space="preserve"> a reduction in kidney damage, Plasma creatinine concentration,  albuminuria, and mesangial matrix expansion, </w:t>
      </w:r>
      <w:r w:rsidR="003E1EE1" w:rsidRPr="007F7899">
        <w:rPr>
          <w:rFonts w:asciiTheme="majorBidi" w:hAnsiTheme="majorBidi" w:cstheme="majorBidi"/>
          <w:sz w:val="20"/>
          <w:szCs w:val="20"/>
        </w:rPr>
        <w:t>[26</w:t>
      </w:r>
      <w:r w:rsidR="00666C59" w:rsidRPr="007F7899">
        <w:rPr>
          <w:rFonts w:asciiTheme="majorBidi" w:hAnsiTheme="majorBidi" w:cstheme="majorBidi"/>
          <w:sz w:val="20"/>
          <w:szCs w:val="20"/>
        </w:rPr>
        <w:t xml:space="preserve">], </w:t>
      </w:r>
      <w:r w:rsidRPr="007F7899">
        <w:rPr>
          <w:rFonts w:asciiTheme="majorBidi" w:hAnsiTheme="majorBidi" w:cstheme="majorBidi"/>
          <w:sz w:val="20"/>
          <w:szCs w:val="20"/>
        </w:rPr>
        <w:t>were significantly reduced by the treatment with SBG, So it has been  shown that SBG treatment of db/db mice significantly ameliorates the progression of kidney dysfunction, without any apparent negative side effect, as indicated by the absence of gross macros</w:t>
      </w:r>
      <w:r w:rsidR="00666C59" w:rsidRPr="007F7899">
        <w:rPr>
          <w:rFonts w:asciiTheme="majorBidi" w:hAnsiTheme="majorBidi" w:cstheme="majorBidi"/>
          <w:sz w:val="20"/>
          <w:szCs w:val="20"/>
        </w:rPr>
        <w:t>co</w:t>
      </w:r>
      <w:r w:rsidR="003E1EE1" w:rsidRPr="007F7899">
        <w:rPr>
          <w:rFonts w:asciiTheme="majorBidi" w:hAnsiTheme="majorBidi" w:cstheme="majorBidi"/>
          <w:sz w:val="20"/>
          <w:szCs w:val="20"/>
        </w:rPr>
        <w:t>pic damage of internal organs[27</w:t>
      </w:r>
      <w:r w:rsidR="00666C59" w:rsidRPr="007F7899">
        <w:rPr>
          <w:rFonts w:asciiTheme="majorBidi" w:hAnsiTheme="majorBidi" w:cstheme="majorBidi"/>
          <w:sz w:val="20"/>
          <w:szCs w:val="20"/>
        </w:rPr>
        <w:t>].</w:t>
      </w:r>
    </w:p>
    <w:p w:rsidR="00AB0A80" w:rsidRPr="007F7899" w:rsidRDefault="00C45DE0" w:rsidP="00AB0A80">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Betaglycan (BG) has a dual role in the modulation of TGF-β activities (Fig</w:t>
      </w:r>
      <w:r w:rsidR="00EA1278" w:rsidRPr="007F7899">
        <w:rPr>
          <w:rFonts w:asciiTheme="majorBidi" w:hAnsiTheme="majorBidi" w:cstheme="majorBidi"/>
          <w:sz w:val="20"/>
          <w:szCs w:val="20"/>
        </w:rPr>
        <w:t>ure 4</w:t>
      </w:r>
      <w:r w:rsidRPr="007F7899">
        <w:rPr>
          <w:rFonts w:asciiTheme="majorBidi" w:hAnsiTheme="majorBidi" w:cstheme="majorBidi"/>
          <w:sz w:val="20"/>
          <w:szCs w:val="20"/>
        </w:rPr>
        <w:t xml:space="preserve">).  </w:t>
      </w:r>
      <w:proofErr w:type="gramStart"/>
      <w:r w:rsidRPr="007F7899">
        <w:rPr>
          <w:rFonts w:asciiTheme="majorBidi" w:hAnsiTheme="majorBidi" w:cstheme="majorBidi"/>
          <w:sz w:val="20"/>
          <w:szCs w:val="20"/>
        </w:rPr>
        <w:t>BG,</w:t>
      </w:r>
      <w:proofErr w:type="gramEnd"/>
      <w:r w:rsidRPr="007F7899">
        <w:rPr>
          <w:rFonts w:asciiTheme="majorBidi" w:hAnsiTheme="majorBidi" w:cstheme="majorBidi"/>
          <w:sz w:val="20"/>
          <w:szCs w:val="20"/>
        </w:rPr>
        <w:t xml:space="preserve"> potentiates TGF-β actions when it is membrane bound. Shedding of BG extracellular region generates the soluble form of the receptor.  Soluble BG still binds TGF-β with the high affinity of the membrane BG, but instead of presenting it to the type II receptor, soluble BG sequesters it a</w:t>
      </w:r>
      <w:r w:rsidR="004C5408" w:rsidRPr="007F7899">
        <w:rPr>
          <w:rFonts w:asciiTheme="majorBidi" w:hAnsiTheme="majorBidi" w:cstheme="majorBidi"/>
          <w:sz w:val="20"/>
          <w:szCs w:val="20"/>
        </w:rPr>
        <w:t>nd</w:t>
      </w:r>
      <w:r w:rsidR="00FC0987" w:rsidRPr="007F7899">
        <w:rPr>
          <w:rFonts w:asciiTheme="majorBidi" w:hAnsiTheme="majorBidi" w:cstheme="majorBidi"/>
          <w:sz w:val="20"/>
          <w:szCs w:val="20"/>
        </w:rPr>
        <w:t xml:space="preserve"> thus neutralizes its </w:t>
      </w:r>
      <w:proofErr w:type="gramStart"/>
      <w:r w:rsidR="00FC0987" w:rsidRPr="007F7899">
        <w:rPr>
          <w:rFonts w:asciiTheme="majorBidi" w:hAnsiTheme="majorBidi" w:cstheme="majorBidi"/>
          <w:sz w:val="20"/>
          <w:szCs w:val="20"/>
        </w:rPr>
        <w:t>actions[</w:t>
      </w:r>
      <w:proofErr w:type="gramEnd"/>
      <w:r w:rsidR="00FC0987" w:rsidRPr="007F7899">
        <w:rPr>
          <w:rFonts w:asciiTheme="majorBidi" w:hAnsiTheme="majorBidi" w:cstheme="majorBidi"/>
          <w:sz w:val="20"/>
          <w:szCs w:val="20"/>
        </w:rPr>
        <w:t>28</w:t>
      </w:r>
      <w:r w:rsidR="004C5408" w:rsidRPr="007F7899">
        <w:rPr>
          <w:rFonts w:asciiTheme="majorBidi" w:hAnsiTheme="majorBidi" w:cstheme="majorBidi"/>
          <w:sz w:val="20"/>
          <w:szCs w:val="20"/>
        </w:rPr>
        <w:t>].</w:t>
      </w:r>
      <w:r w:rsidR="00AB0A80">
        <w:rPr>
          <w:rFonts w:asciiTheme="majorBidi" w:hAnsiTheme="majorBidi" w:cstheme="majorBidi"/>
          <w:sz w:val="20"/>
          <w:szCs w:val="20"/>
        </w:rPr>
        <w:t xml:space="preserve"> </w:t>
      </w:r>
      <w:r w:rsidR="00090437" w:rsidRPr="007F7899">
        <w:rPr>
          <w:rFonts w:asciiTheme="majorBidi" w:hAnsiTheme="majorBidi" w:cstheme="majorBidi"/>
          <w:sz w:val="20"/>
          <w:szCs w:val="20"/>
        </w:rPr>
        <w:t xml:space="preserve">Unique among other TGF-β inhibitors is the fact that BG may be subject to regulated shedding of its ectodomain </w:t>
      </w:r>
      <w:r w:rsidR="003E1EE1" w:rsidRPr="007F7899">
        <w:rPr>
          <w:rFonts w:asciiTheme="majorBidi" w:hAnsiTheme="majorBidi" w:cstheme="majorBidi"/>
          <w:sz w:val="20"/>
          <w:szCs w:val="20"/>
        </w:rPr>
        <w:t>[2</w:t>
      </w:r>
      <w:r w:rsidR="00FC0987" w:rsidRPr="007F7899">
        <w:rPr>
          <w:rFonts w:asciiTheme="majorBidi" w:hAnsiTheme="majorBidi" w:cstheme="majorBidi"/>
          <w:sz w:val="20"/>
          <w:szCs w:val="20"/>
        </w:rPr>
        <w:t>9</w:t>
      </w:r>
      <w:r w:rsidR="004C5408" w:rsidRPr="007F7899">
        <w:rPr>
          <w:rFonts w:asciiTheme="majorBidi" w:hAnsiTheme="majorBidi" w:cstheme="majorBidi"/>
          <w:sz w:val="20"/>
          <w:szCs w:val="20"/>
        </w:rPr>
        <w:t xml:space="preserve">], </w:t>
      </w:r>
      <w:r w:rsidR="00090437" w:rsidRPr="007F7899">
        <w:rPr>
          <w:rFonts w:asciiTheme="majorBidi" w:hAnsiTheme="majorBidi" w:cstheme="majorBidi"/>
          <w:sz w:val="20"/>
          <w:szCs w:val="20"/>
        </w:rPr>
        <w:t>making possible, in principle, control of the relative ratio of the membrane and soluble forms of the receptor, providing a way to</w:t>
      </w:r>
      <w:r w:rsidR="00EA1278" w:rsidRPr="007F7899">
        <w:rPr>
          <w:rFonts w:asciiTheme="majorBidi" w:hAnsiTheme="majorBidi" w:cstheme="majorBidi"/>
          <w:sz w:val="20"/>
          <w:szCs w:val="20"/>
        </w:rPr>
        <w:t xml:space="preserve"> switch TGF-β actions on or off.</w:t>
      </w:r>
      <w:r w:rsidR="00AB0A80">
        <w:rPr>
          <w:rFonts w:asciiTheme="majorBidi" w:hAnsiTheme="majorBidi" w:cstheme="majorBidi"/>
          <w:sz w:val="20"/>
          <w:szCs w:val="20"/>
        </w:rPr>
        <w:t xml:space="preserve"> </w:t>
      </w:r>
      <w:r w:rsidR="00A4683B" w:rsidRPr="007F7899">
        <w:rPr>
          <w:rFonts w:asciiTheme="majorBidi" w:hAnsiTheme="majorBidi" w:cstheme="majorBidi"/>
          <w:sz w:val="20"/>
          <w:szCs w:val="20"/>
        </w:rPr>
        <w:t xml:space="preserve">SBG is a renoprotective agent that neutralized TGF-β actions in this model of nephropathy. Because SBG has a high affinity for all TGF- isoforms, in particular TGF-β 2, it is found naturally in serum and tissues and its shedding may be regulated. We believe that SBG will prove convenient for long-term treatment of kidney diseases and other pathologies in which TGF- </w:t>
      </w:r>
      <w:r w:rsidR="004D7589" w:rsidRPr="007F7899">
        <w:rPr>
          <w:rFonts w:asciiTheme="majorBidi" w:hAnsiTheme="majorBidi" w:cstheme="majorBidi"/>
          <w:sz w:val="20"/>
          <w:szCs w:val="20"/>
        </w:rPr>
        <w:t>pla</w:t>
      </w:r>
      <w:r w:rsidR="00FC0987" w:rsidRPr="007F7899">
        <w:rPr>
          <w:rFonts w:asciiTheme="majorBidi" w:hAnsiTheme="majorBidi" w:cstheme="majorBidi"/>
          <w:sz w:val="20"/>
          <w:szCs w:val="20"/>
        </w:rPr>
        <w:t>ys a pathophysiological role [30</w:t>
      </w:r>
      <w:r w:rsidR="004D7589" w:rsidRPr="007F7899">
        <w:rPr>
          <w:rFonts w:asciiTheme="majorBidi" w:hAnsiTheme="majorBidi" w:cstheme="majorBidi"/>
          <w:sz w:val="20"/>
          <w:szCs w:val="20"/>
        </w:rPr>
        <w:t>].</w:t>
      </w:r>
      <w:r w:rsidR="00AB0A80">
        <w:rPr>
          <w:rFonts w:asciiTheme="majorBidi" w:hAnsiTheme="majorBidi" w:cstheme="majorBidi"/>
          <w:sz w:val="20"/>
          <w:szCs w:val="20"/>
        </w:rPr>
        <w:t xml:space="preserve"> </w:t>
      </w:r>
      <w:r w:rsidR="00AB0A80" w:rsidRPr="007F7899">
        <w:rPr>
          <w:rFonts w:asciiTheme="majorBidi" w:hAnsiTheme="majorBidi" w:cstheme="majorBidi"/>
          <w:sz w:val="20"/>
          <w:szCs w:val="20"/>
        </w:rPr>
        <w:t xml:space="preserve">As inerstitial fibrosis, related to accumulation </w:t>
      </w:r>
      <w:proofErr w:type="gramStart"/>
      <w:r w:rsidR="00AB0A80" w:rsidRPr="007F7899">
        <w:rPr>
          <w:rFonts w:asciiTheme="majorBidi" w:hAnsiTheme="majorBidi" w:cstheme="majorBidi"/>
          <w:sz w:val="20"/>
          <w:szCs w:val="20"/>
        </w:rPr>
        <w:t>of  ECM</w:t>
      </w:r>
      <w:proofErr w:type="gramEnd"/>
      <w:r w:rsidR="00AB0A80" w:rsidRPr="007F7899">
        <w:rPr>
          <w:rFonts w:asciiTheme="majorBidi" w:hAnsiTheme="majorBidi" w:cstheme="majorBidi"/>
          <w:sz w:val="20"/>
          <w:szCs w:val="20"/>
        </w:rPr>
        <w:t xml:space="preserve"> , it also related to progression of   renal disease with accumulation of fibroblasts and myofibroblasts which is related to nephron loss and kidney shut down, so considered as a predictor of fibrotic progression [31].</w:t>
      </w:r>
      <w:r w:rsidR="00AB0A80">
        <w:rPr>
          <w:rFonts w:asciiTheme="majorBidi" w:hAnsiTheme="majorBidi" w:cstheme="majorBidi"/>
          <w:sz w:val="20"/>
          <w:szCs w:val="20"/>
        </w:rPr>
        <w:t xml:space="preserve"> </w:t>
      </w:r>
      <w:r w:rsidR="00AB0A80" w:rsidRPr="007F7899">
        <w:rPr>
          <w:rFonts w:asciiTheme="majorBidi" w:hAnsiTheme="majorBidi" w:cstheme="majorBidi"/>
          <w:sz w:val="20"/>
          <w:szCs w:val="20"/>
        </w:rPr>
        <w:t>This myofibroblasts express alpha smooth muscle actin that is related to intracellular stress fibres, in advanced disease, the interstitium becomes filled with myofibroblasts. Myofibroblasts are derived from a variety of sources including resident mesenchymal cells, epithelial and endothelial cells which is called epithelial/endothelial-mesenchymal (EMT/EndMT) transition, and from circulating fibroblast-like cells called fibrocytes that are derived from bone-marrow stem cells [32</w:t>
      </w:r>
      <w:proofErr w:type="gramStart"/>
      <w:r w:rsidR="00AB0A80" w:rsidRPr="007F7899">
        <w:rPr>
          <w:rFonts w:asciiTheme="majorBidi" w:hAnsiTheme="majorBidi" w:cstheme="majorBidi"/>
          <w:sz w:val="20"/>
          <w:szCs w:val="20"/>
        </w:rPr>
        <w:t>] .</w:t>
      </w:r>
      <w:proofErr w:type="gramEnd"/>
      <w:r w:rsidR="00AB0A80" w:rsidRPr="007F7899">
        <w:rPr>
          <w:rFonts w:asciiTheme="majorBidi" w:hAnsiTheme="majorBidi" w:cstheme="majorBidi"/>
          <w:sz w:val="20"/>
          <w:szCs w:val="20"/>
        </w:rPr>
        <w:t xml:space="preserve">  There is also what is called exosomes which could </w:t>
      </w:r>
      <w:proofErr w:type="gramStart"/>
      <w:r w:rsidR="00AB0A80" w:rsidRPr="007F7899">
        <w:rPr>
          <w:rFonts w:asciiTheme="majorBidi" w:hAnsiTheme="majorBidi" w:cstheme="majorBidi"/>
          <w:sz w:val="20"/>
          <w:szCs w:val="20"/>
        </w:rPr>
        <w:t>trigger  elevated</w:t>
      </w:r>
      <w:proofErr w:type="gramEnd"/>
      <w:r w:rsidR="00AB0A80" w:rsidRPr="007F7899">
        <w:rPr>
          <w:rFonts w:asciiTheme="majorBidi" w:hAnsiTheme="majorBidi" w:cstheme="majorBidi"/>
          <w:sz w:val="20"/>
          <w:szCs w:val="20"/>
        </w:rPr>
        <w:t xml:space="preserve"> α-smooth muscle actin expression and differentiate fibroblast into myofibroblasts, this exosomes are vesicles secreted by diverse cell types that play complex roles in intercellular communication. Betaglycan did not alter TβRI or TβRII but instead inhibit Smad 2/3, Akt and ERK phosphorylation and we can say that betaglycan is important for TGF-β signalling and differentiation in myofibroblast, through smad dependent and independent pathways.</w:t>
      </w:r>
      <w:r w:rsidR="00AB0A80">
        <w:rPr>
          <w:rFonts w:asciiTheme="majorBidi" w:hAnsiTheme="majorBidi" w:cstheme="majorBidi"/>
          <w:sz w:val="20"/>
          <w:szCs w:val="20"/>
        </w:rPr>
        <w:t xml:space="preserve"> </w:t>
      </w:r>
      <w:r w:rsidR="00AB0A80" w:rsidRPr="007F7899">
        <w:rPr>
          <w:rFonts w:asciiTheme="majorBidi" w:hAnsiTheme="majorBidi" w:cstheme="majorBidi"/>
          <w:sz w:val="20"/>
          <w:szCs w:val="20"/>
        </w:rPr>
        <w:t xml:space="preserve">While the Smad pathway is essential for TGF-β singnaing it also signal a variety </w:t>
      </w:r>
      <w:proofErr w:type="gramStart"/>
      <w:r w:rsidR="00AB0A80" w:rsidRPr="007F7899">
        <w:rPr>
          <w:rFonts w:asciiTheme="majorBidi" w:hAnsiTheme="majorBidi" w:cstheme="majorBidi"/>
          <w:sz w:val="20"/>
          <w:szCs w:val="20"/>
        </w:rPr>
        <w:t>of  Smad</w:t>
      </w:r>
      <w:proofErr w:type="gramEnd"/>
      <w:r w:rsidR="00AB0A80" w:rsidRPr="007F7899">
        <w:rPr>
          <w:rFonts w:asciiTheme="majorBidi" w:hAnsiTheme="majorBidi" w:cstheme="majorBidi"/>
          <w:sz w:val="20"/>
          <w:szCs w:val="20"/>
        </w:rPr>
        <w:t xml:space="preserve">-independent pathways as mitogen–activated protein kinase ( MAPKs ) and phosphatidylinositol 3-kinase (P13k)-Akt. Betaglycan is a transmembrane </w:t>
      </w:r>
      <w:r w:rsidR="00AB0A80" w:rsidRPr="007F7899">
        <w:rPr>
          <w:rFonts w:asciiTheme="majorBidi" w:hAnsiTheme="majorBidi" w:cstheme="majorBidi"/>
          <w:sz w:val="20"/>
          <w:szCs w:val="20"/>
        </w:rPr>
        <w:lastRenderedPageBreak/>
        <w:t>proteoglycan and shows a large extracellular domain which having heparin and chondroitin sulphate glycosaminoglycan chain but without kinase domain.</w:t>
      </w:r>
    </w:p>
    <w:p w:rsidR="00DC3F71" w:rsidRPr="007F7899" w:rsidRDefault="00A66BA4" w:rsidP="00001FDE">
      <w:pPr>
        <w:widowControl w:val="0"/>
        <w:spacing w:before="100" w:beforeAutospacing="1" w:after="100" w:afterAutospacing="1" w:line="360" w:lineRule="auto"/>
        <w:jc w:val="center"/>
        <w:rPr>
          <w:rFonts w:asciiTheme="majorBidi" w:hAnsiTheme="majorBidi" w:cstheme="majorBidi"/>
          <w:sz w:val="20"/>
          <w:szCs w:val="20"/>
        </w:rPr>
      </w:pPr>
      <w:r w:rsidRPr="007F7899">
        <w:rPr>
          <w:rFonts w:asciiTheme="majorBidi" w:hAnsiTheme="majorBidi" w:cstheme="majorBidi"/>
          <w:noProof/>
          <w:sz w:val="20"/>
          <w:szCs w:val="20"/>
          <w:lang w:val="en-US"/>
        </w:rPr>
        <mc:AlternateContent>
          <mc:Choice Requires="wps">
            <w:drawing>
              <wp:anchor distT="0" distB="0" distL="114300" distR="114300" simplePos="0" relativeHeight="251675648" behindDoc="0" locked="0" layoutInCell="1" allowOverlap="1" wp14:anchorId="1DF07EFC" wp14:editId="2E4441E5">
                <wp:simplePos x="0" y="0"/>
                <wp:positionH relativeFrom="column">
                  <wp:posOffset>3000375</wp:posOffset>
                </wp:positionH>
                <wp:positionV relativeFrom="paragraph">
                  <wp:posOffset>3302000</wp:posOffset>
                </wp:positionV>
                <wp:extent cx="914400" cy="238125"/>
                <wp:effectExtent l="0" t="0" r="0" b="9525"/>
                <wp:wrapNone/>
                <wp:docPr id="44" name="مستطيل 44"/>
                <wp:cNvGraphicFramePr/>
                <a:graphic xmlns:a="http://schemas.openxmlformats.org/drawingml/2006/main">
                  <a:graphicData uri="http://schemas.microsoft.com/office/word/2010/wordprocessingShape">
                    <wps:wsp>
                      <wps:cNvSpPr/>
                      <wps:spPr>
                        <a:xfrm>
                          <a:off x="0" y="0"/>
                          <a:ext cx="914400" cy="2381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44" o:spid="_x0000_s1026" style="position:absolute;margin-left:236.25pt;margin-top:260pt;width:1in;height:18.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" fillcolor="white [3201]" stroked="f" strokeweight="2pt"/>
            </w:pict>
          </mc:Fallback>
        </mc:AlternateContent>
      </w:r>
      <w:r w:rsidR="006A2898" w:rsidRPr="007F7899">
        <w:rPr>
          <w:rFonts w:asciiTheme="majorBidi" w:hAnsiTheme="majorBidi" w:cstheme="majorBidi"/>
          <w:noProof/>
          <w:sz w:val="20"/>
          <w:szCs w:val="20"/>
          <w:lang w:val="en-US"/>
        </w:rPr>
        <mc:AlternateContent>
          <mc:Choice Requires="wps">
            <w:drawing>
              <wp:anchor distT="0" distB="0" distL="114300" distR="114300" simplePos="0" relativeHeight="251673600" behindDoc="0" locked="0" layoutInCell="1" allowOverlap="1" wp14:anchorId="0BA0C3F3" wp14:editId="318A03A1">
                <wp:simplePos x="0" y="0"/>
                <wp:positionH relativeFrom="column">
                  <wp:posOffset>1495426</wp:posOffset>
                </wp:positionH>
                <wp:positionV relativeFrom="paragraph">
                  <wp:posOffset>73660</wp:posOffset>
                </wp:positionV>
                <wp:extent cx="2762250" cy="266700"/>
                <wp:effectExtent l="0" t="0" r="19050" b="19050"/>
                <wp:wrapNone/>
                <wp:docPr id="10" name="مستطيل 10"/>
                <wp:cNvGraphicFramePr/>
                <a:graphic xmlns:a="http://schemas.openxmlformats.org/drawingml/2006/main">
                  <a:graphicData uri="http://schemas.microsoft.com/office/word/2010/wordprocessingShape">
                    <wps:wsp>
                      <wps:cNvSpPr/>
                      <wps:spPr>
                        <a:xfrm>
                          <a:off x="0" y="0"/>
                          <a:ext cx="2762250" cy="266700"/>
                        </a:xfrm>
                        <a:prstGeom prst="rect">
                          <a:avLst/>
                        </a:prstGeom>
                        <a:solidFill>
                          <a:schemeClr val="bg1"/>
                        </a:solidFill>
                        <a:ln>
                          <a:solidFill>
                            <a:schemeClr val="bg1"/>
                          </a:solidFill>
                        </a:ln>
                      </wps:spPr>
                      <wps:style>
                        <a:lnRef idx="2">
                          <a:schemeClr val="accent6"/>
                        </a:lnRef>
                        <a:fillRef idx="100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0" o:spid="_x0000_s1026" style="position:absolute;margin-left:117.75pt;margin-top:5.8pt;width:217.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" fillcolor="white [3212]" strokecolor="white [3212]" strokeweight="2pt"/>
            </w:pict>
          </mc:Fallback>
        </mc:AlternateContent>
      </w:r>
      <w:r w:rsidR="00942AEB" w:rsidRPr="007F7899">
        <w:rPr>
          <w:rFonts w:asciiTheme="majorBidi" w:hAnsiTheme="majorBidi" w:cstheme="majorBidi"/>
          <w:sz w:val="20"/>
          <w:szCs w:val="20"/>
        </w:rPr>
        <w:object w:dxaOrig="7236" w:dyaOrig="5409">
          <v:shape id="_x0000_i1026" type="#_x0000_t75" style="width:411.6pt;height:302.4pt" o:ole="">
            <v:imagedata r:id="rId13" o:title=""/>
          </v:shape>
          <o:OLEObject Type="Embed" ProgID="Msxml2.SAXXMLReader.5.0" ShapeID="_x0000_i1026" DrawAspect="Content" ObjectID="_1606163058" r:id="rId14"/>
        </w:object>
      </w:r>
    </w:p>
    <w:p w:rsidR="00001FDE" w:rsidRPr="00001FDE" w:rsidRDefault="00001FDE" w:rsidP="00001FDE">
      <w:pPr>
        <w:widowControl w:val="0"/>
        <w:spacing w:before="100" w:beforeAutospacing="1" w:after="100" w:afterAutospacing="1" w:line="360" w:lineRule="auto"/>
        <w:jc w:val="center"/>
        <w:rPr>
          <w:rFonts w:asciiTheme="majorBidi" w:hAnsiTheme="majorBidi" w:cstheme="majorBidi"/>
          <w:sz w:val="20"/>
          <w:szCs w:val="20"/>
        </w:rPr>
      </w:pPr>
      <w:r w:rsidRPr="007F7899">
        <w:rPr>
          <w:rFonts w:asciiTheme="majorBidi" w:hAnsiTheme="majorBidi" w:cstheme="majorBidi"/>
          <w:b/>
          <w:bCs/>
          <w:sz w:val="20"/>
          <w:szCs w:val="20"/>
        </w:rPr>
        <w:t xml:space="preserve">Figure 4: </w:t>
      </w:r>
      <w:r w:rsidRPr="00001FDE">
        <w:rPr>
          <w:rFonts w:asciiTheme="majorBidi" w:hAnsiTheme="majorBidi" w:cstheme="majorBidi"/>
          <w:sz w:val="20"/>
          <w:szCs w:val="20"/>
        </w:rPr>
        <w:t>Betaglycan has a dual modulation of TGF-β activities</w:t>
      </w:r>
    </w:p>
    <w:p w:rsidR="00701ECC" w:rsidRPr="007F7899" w:rsidRDefault="00AA22A7"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Betaglycan has an important function in cancer and lost in most of non-small cell lung cancer, its downregulation enhances epithelial to mesenchymal transition ( EMT ), betaglycan is downregulated during TGF-β differentiation of fibroblasts and this imply the antifibrotic action of betaglycan.</w:t>
      </w:r>
      <w:r w:rsidR="00385F10" w:rsidRPr="007F7899">
        <w:rPr>
          <w:rFonts w:asciiTheme="majorBidi" w:hAnsiTheme="majorBidi" w:cstheme="majorBidi"/>
          <w:sz w:val="20"/>
          <w:szCs w:val="20"/>
        </w:rPr>
        <w:t xml:space="preserve"> Betaglycan undergoes ligand-independent ectodomain shedding and a stable soluble fragment is produced which sequesters TGF-β. This fragment has got a therapeutic significant in some tumors and fibrosis as an inhibitor of TGF-β signaling.</w:t>
      </w:r>
      <w:r w:rsidR="00EE5362" w:rsidRPr="007F7899">
        <w:rPr>
          <w:rFonts w:asciiTheme="majorBidi" w:hAnsiTheme="majorBidi" w:cstheme="majorBidi"/>
          <w:sz w:val="20"/>
          <w:szCs w:val="20"/>
        </w:rPr>
        <w:t xml:space="preserve"> In addition to the betaglycan ectodomain it has also cytoplasmic domain which modulates TGF-β dependent and independent activation of p38/MAPK which still not well known, betaglycan also forms a complex with syndcan-2 which is important in regulating TGF-β signalling and fibrosis.</w:t>
      </w:r>
    </w:p>
    <w:p w:rsidR="001D0652" w:rsidRPr="007F7899" w:rsidRDefault="00BB2D17" w:rsidP="00AB0A80">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 Betaglcan species have opposing effects on TGF-β signalling whereby betaglyca</w:t>
      </w:r>
      <w:r w:rsidR="008770F8" w:rsidRPr="007F7899">
        <w:rPr>
          <w:rFonts w:asciiTheme="majorBidi" w:hAnsiTheme="majorBidi" w:cstheme="majorBidi"/>
          <w:sz w:val="20"/>
          <w:szCs w:val="20"/>
        </w:rPr>
        <w:t xml:space="preserve">n serving as </w:t>
      </w:r>
      <w:proofErr w:type="gramStart"/>
      <w:r w:rsidR="008770F8" w:rsidRPr="007F7899">
        <w:rPr>
          <w:rFonts w:asciiTheme="majorBidi" w:hAnsiTheme="majorBidi" w:cstheme="majorBidi"/>
          <w:sz w:val="20"/>
          <w:szCs w:val="20"/>
        </w:rPr>
        <w:t>( molecular</w:t>
      </w:r>
      <w:proofErr w:type="gramEnd"/>
      <w:r w:rsidR="008770F8" w:rsidRPr="007F7899">
        <w:rPr>
          <w:rFonts w:asciiTheme="majorBidi" w:hAnsiTheme="majorBidi" w:cstheme="majorBidi"/>
          <w:sz w:val="20"/>
          <w:szCs w:val="20"/>
        </w:rPr>
        <w:t xml:space="preserve"> switch</w:t>
      </w:r>
      <w:r w:rsidRPr="007F7899">
        <w:rPr>
          <w:rFonts w:asciiTheme="majorBidi" w:hAnsiTheme="majorBidi" w:cstheme="majorBidi"/>
          <w:sz w:val="20"/>
          <w:szCs w:val="20"/>
        </w:rPr>
        <w:t xml:space="preserve">) . </w:t>
      </w:r>
      <w:proofErr w:type="gramStart"/>
      <w:r w:rsidRPr="007F7899">
        <w:rPr>
          <w:rFonts w:asciiTheme="majorBidi" w:hAnsiTheme="majorBidi" w:cstheme="majorBidi"/>
          <w:sz w:val="20"/>
          <w:szCs w:val="20"/>
        </w:rPr>
        <w:t>when</w:t>
      </w:r>
      <w:proofErr w:type="gramEnd"/>
      <w:r w:rsidRPr="007F7899">
        <w:rPr>
          <w:rFonts w:asciiTheme="majorBidi" w:hAnsiTheme="majorBidi" w:cstheme="majorBidi"/>
          <w:sz w:val="20"/>
          <w:szCs w:val="20"/>
        </w:rPr>
        <w:t xml:space="preserve"> isolated  betaglycan cytoplasmic domain is inhibited it leads to</w:t>
      </w:r>
      <w:r w:rsidR="009E7B37" w:rsidRPr="007F7899">
        <w:rPr>
          <w:rFonts w:asciiTheme="majorBidi" w:hAnsiTheme="majorBidi" w:cstheme="majorBidi"/>
          <w:sz w:val="20"/>
          <w:szCs w:val="20"/>
        </w:rPr>
        <w:t xml:space="preserve"> </w:t>
      </w:r>
      <w:r w:rsidRPr="007F7899">
        <w:rPr>
          <w:rFonts w:asciiTheme="majorBidi" w:hAnsiTheme="majorBidi" w:cstheme="majorBidi"/>
          <w:sz w:val="20"/>
          <w:szCs w:val="20"/>
        </w:rPr>
        <w:t>decrease TGF-β signaling through activation of the p38/MAPK pathway, so betaglycan has got an essential role in mediating the specificit</w:t>
      </w:r>
      <w:r w:rsidR="00AB0A80">
        <w:rPr>
          <w:rFonts w:asciiTheme="majorBidi" w:hAnsiTheme="majorBidi" w:cstheme="majorBidi"/>
          <w:sz w:val="20"/>
          <w:szCs w:val="20"/>
        </w:rPr>
        <w:t xml:space="preserve">y of TGF-β signaling pathways. </w:t>
      </w:r>
      <w:proofErr w:type="gramStart"/>
      <w:r w:rsidR="001D0652" w:rsidRPr="007F7899">
        <w:rPr>
          <w:rFonts w:asciiTheme="majorBidi" w:hAnsiTheme="majorBidi" w:cstheme="majorBidi"/>
          <w:sz w:val="20"/>
          <w:szCs w:val="20"/>
        </w:rPr>
        <w:t>Genetic analysis to clarify the role of epithelial cells and interstitial cells in the generation of myofibroblasts during kidney injury and fibrosis.</w:t>
      </w:r>
      <w:proofErr w:type="gramEnd"/>
      <w:r w:rsidR="001D0652" w:rsidRPr="007F7899">
        <w:rPr>
          <w:rFonts w:asciiTheme="majorBidi" w:hAnsiTheme="majorBidi" w:cstheme="majorBidi"/>
          <w:sz w:val="20"/>
          <w:szCs w:val="20"/>
        </w:rPr>
        <w:t xml:space="preserve"> It has been shown that there is a </w:t>
      </w:r>
      <w:proofErr w:type="gramStart"/>
      <w:r w:rsidR="001D0652" w:rsidRPr="007F7899">
        <w:rPr>
          <w:rFonts w:asciiTheme="majorBidi" w:hAnsiTheme="majorBidi" w:cstheme="majorBidi"/>
          <w:sz w:val="20"/>
          <w:szCs w:val="20"/>
        </w:rPr>
        <w:t>definitive  evidence</w:t>
      </w:r>
      <w:proofErr w:type="gramEnd"/>
      <w:r w:rsidR="001D0652" w:rsidRPr="007F7899">
        <w:rPr>
          <w:rFonts w:asciiTheme="majorBidi" w:hAnsiTheme="majorBidi" w:cstheme="majorBidi"/>
          <w:sz w:val="20"/>
          <w:szCs w:val="20"/>
        </w:rPr>
        <w:t xml:space="preserve"> that kidney epithelial cells do not become myofibroblasts in vivo, but show that interstitial pericytes are myofibroblast progenitors in fibrotic kidney disease</w:t>
      </w:r>
      <w:r w:rsidR="00C53682" w:rsidRPr="007F7899">
        <w:rPr>
          <w:rFonts w:asciiTheme="majorBidi" w:hAnsiTheme="majorBidi" w:cstheme="majorBidi"/>
          <w:sz w:val="20"/>
          <w:szCs w:val="20"/>
        </w:rPr>
        <w:t xml:space="preserve"> </w:t>
      </w:r>
      <w:r w:rsidR="00AB0A80">
        <w:rPr>
          <w:rFonts w:asciiTheme="majorBidi" w:hAnsiTheme="majorBidi" w:cstheme="majorBidi"/>
          <w:sz w:val="20"/>
          <w:szCs w:val="20"/>
        </w:rPr>
        <w:t>[33,</w:t>
      </w:r>
      <w:r w:rsidR="00FC0987" w:rsidRPr="007F7899">
        <w:rPr>
          <w:rFonts w:asciiTheme="majorBidi" w:hAnsiTheme="majorBidi" w:cstheme="majorBidi"/>
          <w:sz w:val="20"/>
          <w:szCs w:val="20"/>
        </w:rPr>
        <w:t>34</w:t>
      </w:r>
      <w:r w:rsidR="00C53682" w:rsidRPr="007F7899">
        <w:rPr>
          <w:rFonts w:asciiTheme="majorBidi" w:hAnsiTheme="majorBidi" w:cstheme="majorBidi"/>
          <w:sz w:val="20"/>
          <w:szCs w:val="20"/>
        </w:rPr>
        <w:t>].</w:t>
      </w:r>
    </w:p>
    <w:p w:rsidR="003D71B1" w:rsidRPr="00001FDE" w:rsidRDefault="003D71B1" w:rsidP="00001FDE">
      <w:pPr>
        <w:pStyle w:val="ListParagraph"/>
        <w:widowControl w:val="0"/>
        <w:numPr>
          <w:ilvl w:val="1"/>
          <w:numId w:val="4"/>
        </w:numPr>
        <w:spacing w:before="100" w:beforeAutospacing="1" w:after="100" w:afterAutospacing="1" w:line="360" w:lineRule="auto"/>
        <w:ind w:left="360"/>
        <w:jc w:val="both"/>
        <w:rPr>
          <w:rFonts w:asciiTheme="majorBidi" w:hAnsiTheme="majorBidi" w:cstheme="majorBidi"/>
          <w:b/>
          <w:bCs/>
          <w:i/>
          <w:iCs/>
          <w:sz w:val="20"/>
          <w:szCs w:val="20"/>
        </w:rPr>
      </w:pPr>
      <w:r w:rsidRPr="00001FDE">
        <w:rPr>
          <w:rFonts w:asciiTheme="majorBidi" w:hAnsiTheme="majorBidi" w:cstheme="majorBidi"/>
          <w:b/>
          <w:bCs/>
          <w:i/>
          <w:iCs/>
          <w:sz w:val="20"/>
          <w:szCs w:val="20"/>
        </w:rPr>
        <w:lastRenderedPageBreak/>
        <w:t>The Aim of this work</w:t>
      </w:r>
    </w:p>
    <w:p w:rsidR="003D71B1" w:rsidRPr="007F7899" w:rsidRDefault="00E43A25"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The purpose of work</w:t>
      </w:r>
      <w:r w:rsidR="003D71B1" w:rsidRPr="007F7899">
        <w:rPr>
          <w:rFonts w:asciiTheme="majorBidi" w:hAnsiTheme="majorBidi" w:cstheme="majorBidi"/>
          <w:sz w:val="20"/>
          <w:szCs w:val="20"/>
        </w:rPr>
        <w:t xml:space="preserve"> is to examine the potential role of betaglycan in HK2 cells as a regulator of TGF-β signalling in the kidney in terms of expression, </w:t>
      </w:r>
      <w:proofErr w:type="gramStart"/>
      <w:r w:rsidR="003D71B1" w:rsidRPr="007F7899">
        <w:rPr>
          <w:rFonts w:asciiTheme="majorBidi" w:hAnsiTheme="majorBidi" w:cstheme="majorBidi"/>
          <w:sz w:val="20"/>
          <w:szCs w:val="20"/>
        </w:rPr>
        <w:t>inhibition  and</w:t>
      </w:r>
      <w:proofErr w:type="gramEnd"/>
      <w:r w:rsidR="003D71B1" w:rsidRPr="007F7899">
        <w:rPr>
          <w:rFonts w:asciiTheme="majorBidi" w:hAnsiTheme="majorBidi" w:cstheme="majorBidi"/>
          <w:sz w:val="20"/>
          <w:szCs w:val="20"/>
        </w:rPr>
        <w:t xml:space="preserve"> any phenotypical changes such as  Epithelial-mesenchymal transition associated. </w:t>
      </w:r>
    </w:p>
    <w:p w:rsidR="003D71B1" w:rsidRPr="007F7899" w:rsidRDefault="003D71B1"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The specific aims are to:</w:t>
      </w:r>
    </w:p>
    <w:p w:rsidR="003D71B1" w:rsidRPr="007F7899" w:rsidRDefault="003D71B1" w:rsidP="00001FDE">
      <w:pPr>
        <w:widowControl w:val="0"/>
        <w:spacing w:before="100" w:beforeAutospacing="1" w:after="100" w:afterAutospacing="1" w:line="360" w:lineRule="auto"/>
        <w:ind w:left="720" w:hanging="360"/>
        <w:jc w:val="both"/>
        <w:rPr>
          <w:rFonts w:asciiTheme="majorBidi" w:hAnsiTheme="majorBidi" w:cstheme="majorBidi"/>
          <w:sz w:val="20"/>
          <w:szCs w:val="20"/>
        </w:rPr>
      </w:pPr>
      <w:r w:rsidRPr="007F7899">
        <w:rPr>
          <w:rFonts w:asciiTheme="majorBidi" w:hAnsiTheme="majorBidi" w:cstheme="majorBidi"/>
          <w:sz w:val="20"/>
          <w:szCs w:val="20"/>
        </w:rPr>
        <w:t>1.</w:t>
      </w:r>
      <w:r w:rsidRPr="007F7899">
        <w:rPr>
          <w:rFonts w:asciiTheme="majorBidi" w:hAnsiTheme="majorBidi" w:cstheme="majorBidi"/>
          <w:sz w:val="20"/>
          <w:szCs w:val="20"/>
        </w:rPr>
        <w:tab/>
        <w:t>Examine the expression and inhibition of betaglycan.</w:t>
      </w:r>
    </w:p>
    <w:p w:rsidR="00045936" w:rsidRPr="007F7899" w:rsidRDefault="003D71B1" w:rsidP="00095D1E">
      <w:pPr>
        <w:widowControl w:val="0"/>
        <w:spacing w:before="100" w:beforeAutospacing="1" w:after="100" w:afterAutospacing="1" w:line="360" w:lineRule="auto"/>
        <w:ind w:left="720" w:hanging="360"/>
        <w:jc w:val="both"/>
        <w:rPr>
          <w:rFonts w:asciiTheme="majorBidi" w:hAnsiTheme="majorBidi" w:cstheme="majorBidi"/>
          <w:sz w:val="20"/>
          <w:szCs w:val="20"/>
        </w:rPr>
      </w:pPr>
      <w:r w:rsidRPr="007F7899">
        <w:rPr>
          <w:rFonts w:asciiTheme="majorBidi" w:hAnsiTheme="majorBidi" w:cstheme="majorBidi"/>
          <w:sz w:val="20"/>
          <w:szCs w:val="20"/>
        </w:rPr>
        <w:t>2.</w:t>
      </w:r>
      <w:r w:rsidRPr="007F7899">
        <w:rPr>
          <w:rFonts w:asciiTheme="majorBidi" w:hAnsiTheme="majorBidi" w:cstheme="majorBidi"/>
          <w:sz w:val="20"/>
          <w:szCs w:val="20"/>
        </w:rPr>
        <w:tab/>
        <w:t xml:space="preserve">Examine the effect of specific siRNA and heparin sulphate inhibitors on </w:t>
      </w:r>
      <w:proofErr w:type="gramStart"/>
      <w:r w:rsidRPr="007F7899">
        <w:rPr>
          <w:rFonts w:asciiTheme="majorBidi" w:hAnsiTheme="majorBidi" w:cstheme="majorBidi"/>
          <w:sz w:val="20"/>
          <w:szCs w:val="20"/>
        </w:rPr>
        <w:t xml:space="preserve">betaglycan </w:t>
      </w:r>
      <w:r w:rsidR="00045936" w:rsidRPr="007F7899">
        <w:rPr>
          <w:rFonts w:asciiTheme="majorBidi" w:hAnsiTheme="majorBidi" w:cstheme="majorBidi"/>
          <w:sz w:val="20"/>
          <w:szCs w:val="20"/>
        </w:rPr>
        <w:t xml:space="preserve"> expression</w:t>
      </w:r>
      <w:proofErr w:type="gramEnd"/>
      <w:r w:rsidR="00045936" w:rsidRPr="007F7899">
        <w:rPr>
          <w:rFonts w:asciiTheme="majorBidi" w:hAnsiTheme="majorBidi" w:cstheme="majorBidi"/>
          <w:sz w:val="20"/>
          <w:szCs w:val="20"/>
        </w:rPr>
        <w:t xml:space="preserve"> with relation to Smad  phosphorylation of TGF-β.</w:t>
      </w:r>
    </w:p>
    <w:p w:rsidR="00103C1D" w:rsidRPr="007F7899" w:rsidRDefault="003D71B1" w:rsidP="00001FDE">
      <w:pPr>
        <w:widowControl w:val="0"/>
        <w:spacing w:before="100" w:beforeAutospacing="1" w:after="100" w:afterAutospacing="1" w:line="360" w:lineRule="auto"/>
        <w:ind w:left="720" w:hanging="360"/>
        <w:jc w:val="both"/>
        <w:rPr>
          <w:rFonts w:asciiTheme="majorBidi" w:hAnsiTheme="majorBidi" w:cstheme="majorBidi"/>
          <w:sz w:val="20"/>
          <w:szCs w:val="20"/>
        </w:rPr>
      </w:pPr>
      <w:r w:rsidRPr="007F7899">
        <w:rPr>
          <w:rFonts w:asciiTheme="majorBidi" w:hAnsiTheme="majorBidi" w:cstheme="majorBidi"/>
          <w:sz w:val="20"/>
          <w:szCs w:val="20"/>
        </w:rPr>
        <w:t>3.</w:t>
      </w:r>
      <w:r w:rsidRPr="007F7899">
        <w:rPr>
          <w:rFonts w:asciiTheme="majorBidi" w:hAnsiTheme="majorBidi" w:cstheme="majorBidi"/>
          <w:sz w:val="20"/>
          <w:szCs w:val="20"/>
        </w:rPr>
        <w:tab/>
        <w:t xml:space="preserve">Examine the role of </w:t>
      </w:r>
      <w:proofErr w:type="gramStart"/>
      <w:r w:rsidRPr="007F7899">
        <w:rPr>
          <w:rFonts w:asciiTheme="majorBidi" w:hAnsiTheme="majorBidi" w:cstheme="majorBidi"/>
          <w:sz w:val="20"/>
          <w:szCs w:val="20"/>
        </w:rPr>
        <w:t>betaglycan  expression</w:t>
      </w:r>
      <w:proofErr w:type="gramEnd"/>
      <w:r w:rsidRPr="007F7899">
        <w:rPr>
          <w:rFonts w:asciiTheme="majorBidi" w:hAnsiTheme="majorBidi" w:cstheme="majorBidi"/>
          <w:sz w:val="20"/>
          <w:szCs w:val="20"/>
        </w:rPr>
        <w:t xml:space="preserve"> on α-sma and E-cadherin (EMT).</w:t>
      </w:r>
    </w:p>
    <w:p w:rsidR="0054570E" w:rsidRPr="007F7899" w:rsidRDefault="00EC2B81" w:rsidP="00095D1E">
      <w:pPr>
        <w:widowControl w:val="0"/>
        <w:spacing w:before="100" w:beforeAutospacing="1" w:after="100" w:afterAutospacing="1" w:line="360" w:lineRule="auto"/>
        <w:ind w:left="720" w:hanging="360"/>
        <w:jc w:val="both"/>
        <w:rPr>
          <w:rFonts w:asciiTheme="majorBidi" w:hAnsiTheme="majorBidi" w:cstheme="majorBidi"/>
          <w:sz w:val="20"/>
          <w:szCs w:val="20"/>
        </w:rPr>
      </w:pPr>
      <w:r w:rsidRPr="007F7899">
        <w:rPr>
          <w:rFonts w:asciiTheme="majorBidi" w:hAnsiTheme="majorBidi" w:cstheme="majorBidi"/>
          <w:sz w:val="20"/>
          <w:szCs w:val="20"/>
        </w:rPr>
        <w:t xml:space="preserve">4.         These roles of betaglycan actions will have a </w:t>
      </w:r>
      <w:proofErr w:type="gramStart"/>
      <w:r w:rsidRPr="007F7899">
        <w:rPr>
          <w:rFonts w:asciiTheme="majorBidi" w:hAnsiTheme="majorBidi" w:cstheme="majorBidi"/>
          <w:sz w:val="20"/>
          <w:szCs w:val="20"/>
        </w:rPr>
        <w:t xml:space="preserve">potential </w:t>
      </w:r>
      <w:r w:rsidR="003E20CD" w:rsidRPr="007F7899">
        <w:rPr>
          <w:rFonts w:asciiTheme="majorBidi" w:hAnsiTheme="majorBidi" w:cstheme="majorBidi"/>
          <w:sz w:val="20"/>
          <w:szCs w:val="20"/>
        </w:rPr>
        <w:t xml:space="preserve"> </w:t>
      </w:r>
      <w:r w:rsidRPr="007F7899">
        <w:rPr>
          <w:rFonts w:asciiTheme="majorBidi" w:hAnsiTheme="majorBidi" w:cstheme="majorBidi"/>
          <w:sz w:val="20"/>
          <w:szCs w:val="20"/>
        </w:rPr>
        <w:t>impact</w:t>
      </w:r>
      <w:proofErr w:type="gramEnd"/>
      <w:r w:rsidRPr="007F7899">
        <w:rPr>
          <w:rFonts w:asciiTheme="majorBidi" w:hAnsiTheme="majorBidi" w:cstheme="majorBidi"/>
          <w:sz w:val="20"/>
          <w:szCs w:val="20"/>
        </w:rPr>
        <w:t xml:space="preserve"> on TGF-</w:t>
      </w:r>
      <w:r w:rsidR="00095D1E">
        <w:rPr>
          <w:rFonts w:asciiTheme="majorBidi" w:hAnsiTheme="majorBidi" w:cstheme="majorBidi"/>
          <w:sz w:val="20"/>
          <w:szCs w:val="20"/>
        </w:rPr>
        <w:t xml:space="preserve">β, which is the  </w:t>
      </w:r>
      <w:r w:rsidRPr="007F7899">
        <w:rPr>
          <w:rFonts w:asciiTheme="majorBidi" w:hAnsiTheme="majorBidi" w:cstheme="majorBidi"/>
          <w:sz w:val="20"/>
          <w:szCs w:val="20"/>
        </w:rPr>
        <w:t xml:space="preserve">key factor </w:t>
      </w:r>
      <w:r w:rsidR="00D33896" w:rsidRPr="007F7899">
        <w:rPr>
          <w:rFonts w:asciiTheme="majorBidi" w:hAnsiTheme="majorBidi" w:cstheme="majorBidi"/>
          <w:sz w:val="20"/>
          <w:szCs w:val="20"/>
        </w:rPr>
        <w:t xml:space="preserve"> </w:t>
      </w:r>
      <w:r w:rsidR="00001FDE">
        <w:rPr>
          <w:rFonts w:asciiTheme="majorBidi" w:hAnsiTheme="majorBidi" w:cstheme="majorBidi"/>
          <w:sz w:val="20"/>
          <w:szCs w:val="20"/>
        </w:rPr>
        <w:t>in renal fibrosis.</w:t>
      </w:r>
    </w:p>
    <w:p w:rsidR="0054570E" w:rsidRPr="00001FDE" w:rsidRDefault="0054570E" w:rsidP="00001FDE">
      <w:pPr>
        <w:pStyle w:val="ListParagraph"/>
        <w:widowControl w:val="0"/>
        <w:numPr>
          <w:ilvl w:val="1"/>
          <w:numId w:val="4"/>
        </w:numPr>
        <w:spacing w:before="100" w:beforeAutospacing="1" w:after="100" w:afterAutospacing="1" w:line="360" w:lineRule="auto"/>
        <w:ind w:left="360"/>
        <w:jc w:val="both"/>
        <w:rPr>
          <w:rFonts w:asciiTheme="majorBidi" w:hAnsiTheme="majorBidi" w:cstheme="majorBidi"/>
          <w:b/>
          <w:bCs/>
          <w:i/>
          <w:iCs/>
          <w:sz w:val="20"/>
          <w:szCs w:val="20"/>
        </w:rPr>
      </w:pPr>
      <w:r w:rsidRPr="00001FDE">
        <w:rPr>
          <w:rFonts w:asciiTheme="majorBidi" w:hAnsiTheme="majorBidi" w:cstheme="majorBidi"/>
          <w:b/>
          <w:bCs/>
          <w:i/>
          <w:iCs/>
          <w:sz w:val="20"/>
          <w:szCs w:val="20"/>
        </w:rPr>
        <w:t>Induction of betagl</w:t>
      </w:r>
      <w:r w:rsidR="00001FDE" w:rsidRPr="00001FDE">
        <w:rPr>
          <w:rFonts w:asciiTheme="majorBidi" w:hAnsiTheme="majorBidi" w:cstheme="majorBidi"/>
          <w:b/>
          <w:bCs/>
          <w:i/>
          <w:iCs/>
          <w:sz w:val="20"/>
          <w:szCs w:val="20"/>
        </w:rPr>
        <w:t xml:space="preserve">ycan by proximal tubular cells </w:t>
      </w:r>
    </w:p>
    <w:p w:rsidR="00B2116F" w:rsidRPr="007F7899" w:rsidRDefault="002613EC" w:rsidP="00AB0A80">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The progression of renal disease is correlated with the degree of renal interstitial fibrosis. It has already been demonstrated that proximal tubular epithelial cells (PTC) have the potential to contribute to the pathogenesis of renal fibrosis directly by alterations in the production of</w:t>
      </w:r>
      <w:r w:rsidR="00AB0A80">
        <w:rPr>
          <w:rFonts w:asciiTheme="majorBidi" w:hAnsiTheme="majorBidi" w:cstheme="majorBidi"/>
          <w:sz w:val="20"/>
          <w:szCs w:val="20"/>
        </w:rPr>
        <w:t xml:space="preserve"> </w:t>
      </w:r>
      <w:r w:rsidRPr="007F7899">
        <w:rPr>
          <w:rFonts w:asciiTheme="majorBidi" w:hAnsiTheme="majorBidi" w:cstheme="majorBidi"/>
          <w:sz w:val="20"/>
          <w:szCs w:val="20"/>
        </w:rPr>
        <w:t xml:space="preserve">components of the extracellular matrix and indirectly by the production of profibrotic cytokines </w:t>
      </w:r>
      <w:r w:rsidR="001C54D1" w:rsidRPr="007F7899">
        <w:rPr>
          <w:rFonts w:asciiTheme="majorBidi" w:hAnsiTheme="majorBidi" w:cstheme="majorBidi"/>
          <w:sz w:val="20"/>
          <w:szCs w:val="20"/>
        </w:rPr>
        <w:t>[3</w:t>
      </w:r>
      <w:r w:rsidR="00FC0987" w:rsidRPr="007F7899">
        <w:rPr>
          <w:rFonts w:asciiTheme="majorBidi" w:hAnsiTheme="majorBidi" w:cstheme="majorBidi"/>
          <w:sz w:val="20"/>
          <w:szCs w:val="20"/>
        </w:rPr>
        <w:t>5</w:t>
      </w:r>
      <w:proofErr w:type="gramStart"/>
      <w:r w:rsidR="00AB0A80">
        <w:rPr>
          <w:rFonts w:asciiTheme="majorBidi" w:hAnsiTheme="majorBidi" w:cstheme="majorBidi"/>
          <w:sz w:val="20"/>
          <w:szCs w:val="20"/>
        </w:rPr>
        <w:t>;</w:t>
      </w:r>
      <w:r w:rsidR="001C54D1" w:rsidRPr="007F7899">
        <w:rPr>
          <w:rFonts w:asciiTheme="majorBidi" w:hAnsiTheme="majorBidi" w:cstheme="majorBidi"/>
          <w:sz w:val="20"/>
          <w:szCs w:val="20"/>
        </w:rPr>
        <w:t>3</w:t>
      </w:r>
      <w:r w:rsidR="00FC0987" w:rsidRPr="007F7899">
        <w:rPr>
          <w:rFonts w:asciiTheme="majorBidi" w:hAnsiTheme="majorBidi" w:cstheme="majorBidi"/>
          <w:sz w:val="20"/>
          <w:szCs w:val="20"/>
        </w:rPr>
        <w:t>6</w:t>
      </w:r>
      <w:proofErr w:type="gramEnd"/>
      <w:r w:rsidR="007A1E93" w:rsidRPr="007F7899">
        <w:rPr>
          <w:rFonts w:asciiTheme="majorBidi" w:hAnsiTheme="majorBidi" w:cstheme="majorBidi"/>
          <w:sz w:val="20"/>
          <w:szCs w:val="20"/>
        </w:rPr>
        <w:t xml:space="preserve">], </w:t>
      </w:r>
      <w:r w:rsidR="00B2116F" w:rsidRPr="007F7899">
        <w:rPr>
          <w:rFonts w:asciiTheme="majorBidi" w:hAnsiTheme="majorBidi" w:cstheme="majorBidi"/>
          <w:sz w:val="20"/>
          <w:szCs w:val="20"/>
        </w:rPr>
        <w:t>and we c</w:t>
      </w:r>
      <w:r w:rsidR="007A1E93" w:rsidRPr="007F7899">
        <w:rPr>
          <w:rFonts w:asciiTheme="majorBidi" w:hAnsiTheme="majorBidi" w:cstheme="majorBidi"/>
          <w:sz w:val="20"/>
          <w:szCs w:val="20"/>
        </w:rPr>
        <w:t>an see betaglycan expression by C</w:t>
      </w:r>
      <w:r w:rsidR="00B2116F" w:rsidRPr="007F7899">
        <w:rPr>
          <w:rFonts w:asciiTheme="majorBidi" w:hAnsiTheme="majorBidi" w:cstheme="majorBidi"/>
          <w:sz w:val="20"/>
          <w:szCs w:val="20"/>
        </w:rPr>
        <w:t>ytokines and TGF-β by diffe</w:t>
      </w:r>
      <w:r w:rsidR="00C20B3B" w:rsidRPr="007F7899">
        <w:rPr>
          <w:rFonts w:asciiTheme="majorBidi" w:hAnsiTheme="majorBidi" w:cstheme="majorBidi"/>
          <w:sz w:val="20"/>
          <w:szCs w:val="20"/>
        </w:rPr>
        <w:t>rent methods,</w:t>
      </w:r>
      <w:r w:rsidR="00EA1278" w:rsidRPr="007F7899">
        <w:rPr>
          <w:rFonts w:asciiTheme="majorBidi" w:hAnsiTheme="majorBidi" w:cstheme="majorBidi"/>
          <w:sz w:val="20"/>
          <w:szCs w:val="20"/>
        </w:rPr>
        <w:t>(</w:t>
      </w:r>
      <w:r w:rsidR="00C20B3B" w:rsidRPr="007F7899">
        <w:rPr>
          <w:rFonts w:asciiTheme="majorBidi" w:hAnsiTheme="majorBidi" w:cstheme="majorBidi"/>
          <w:sz w:val="20"/>
          <w:szCs w:val="20"/>
        </w:rPr>
        <w:t xml:space="preserve"> figures 4,5</w:t>
      </w:r>
      <w:r w:rsidR="00EA1278" w:rsidRPr="007F7899">
        <w:rPr>
          <w:rFonts w:asciiTheme="majorBidi" w:hAnsiTheme="majorBidi" w:cstheme="majorBidi"/>
          <w:sz w:val="20"/>
          <w:szCs w:val="20"/>
        </w:rPr>
        <w:t>)</w:t>
      </w:r>
      <w:r w:rsidR="00C20B3B" w:rsidRPr="007F7899">
        <w:rPr>
          <w:rFonts w:asciiTheme="majorBidi" w:hAnsiTheme="majorBidi" w:cstheme="majorBidi"/>
          <w:sz w:val="20"/>
          <w:szCs w:val="20"/>
        </w:rPr>
        <w:t xml:space="preserve"> :</w:t>
      </w:r>
    </w:p>
    <w:p w:rsidR="00A943E7" w:rsidRPr="007F7899" w:rsidRDefault="00A943E7" w:rsidP="00095D1E">
      <w:pPr>
        <w:widowControl w:val="0"/>
        <w:spacing w:before="100" w:beforeAutospacing="1" w:after="100" w:afterAutospacing="1" w:line="360" w:lineRule="auto"/>
        <w:jc w:val="center"/>
        <w:rPr>
          <w:rFonts w:asciiTheme="majorBidi" w:hAnsiTheme="majorBidi" w:cstheme="majorBidi"/>
          <w:sz w:val="20"/>
          <w:szCs w:val="20"/>
        </w:rPr>
      </w:pPr>
      <w:r w:rsidRPr="007F7899">
        <w:rPr>
          <w:rFonts w:asciiTheme="majorBidi" w:eastAsia="Calibri" w:hAnsiTheme="majorBidi" w:cstheme="majorBidi"/>
          <w:noProof/>
          <w:sz w:val="20"/>
          <w:szCs w:val="20"/>
          <w:lang w:val="en-US"/>
        </w:rPr>
        <w:drawing>
          <wp:inline distT="0" distB="0" distL="0" distR="0" wp14:anchorId="16B9F81E" wp14:editId="777050B4">
            <wp:extent cx="2838450" cy="2489396"/>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r="12210" b="8772"/>
                    <a:stretch>
                      <a:fillRect/>
                    </a:stretch>
                  </pic:blipFill>
                  <pic:spPr bwMode="auto">
                    <a:xfrm>
                      <a:off x="0" y="0"/>
                      <a:ext cx="2844303" cy="2494529"/>
                    </a:xfrm>
                    <a:prstGeom prst="rect">
                      <a:avLst/>
                    </a:prstGeom>
                    <a:noFill/>
                    <a:ln w="9525">
                      <a:noFill/>
                      <a:miter lim="800000"/>
                      <a:headEnd/>
                      <a:tailEnd/>
                    </a:ln>
                  </pic:spPr>
                </pic:pic>
              </a:graphicData>
            </a:graphic>
          </wp:inline>
        </w:drawing>
      </w:r>
    </w:p>
    <w:p w:rsidR="00095D1E" w:rsidRPr="007F7899" w:rsidRDefault="00095D1E" w:rsidP="00095D1E">
      <w:pPr>
        <w:widowControl w:val="0"/>
        <w:spacing w:before="100" w:beforeAutospacing="1" w:after="100" w:afterAutospacing="1" w:line="360" w:lineRule="auto"/>
        <w:jc w:val="center"/>
        <w:rPr>
          <w:rFonts w:asciiTheme="majorBidi" w:hAnsiTheme="majorBidi" w:cstheme="majorBidi"/>
          <w:b/>
          <w:bCs/>
          <w:sz w:val="20"/>
          <w:szCs w:val="20"/>
        </w:rPr>
      </w:pPr>
      <w:r w:rsidRPr="007F7899">
        <w:rPr>
          <w:rFonts w:asciiTheme="majorBidi" w:hAnsiTheme="majorBidi" w:cstheme="majorBidi"/>
          <w:b/>
          <w:bCs/>
          <w:sz w:val="20"/>
          <w:szCs w:val="20"/>
        </w:rPr>
        <w:t xml:space="preserve">Figure </w:t>
      </w:r>
      <w:r>
        <w:rPr>
          <w:rFonts w:asciiTheme="majorBidi" w:hAnsiTheme="majorBidi" w:cstheme="majorBidi"/>
          <w:b/>
          <w:bCs/>
          <w:sz w:val="20"/>
          <w:szCs w:val="20"/>
        </w:rPr>
        <w:t xml:space="preserve">5: </w:t>
      </w:r>
      <w:r w:rsidRPr="00095D1E">
        <w:rPr>
          <w:rFonts w:asciiTheme="majorBidi" w:hAnsiTheme="majorBidi" w:cstheme="majorBidi"/>
          <w:sz w:val="20"/>
          <w:szCs w:val="20"/>
        </w:rPr>
        <w:t>Betaglycan Expression by Conventional PCR</w:t>
      </w:r>
      <w:r>
        <w:rPr>
          <w:rFonts w:asciiTheme="majorBidi" w:hAnsiTheme="majorBidi" w:cstheme="majorBidi"/>
          <w:b/>
          <w:bCs/>
          <w:sz w:val="20"/>
          <w:szCs w:val="20"/>
        </w:rPr>
        <w:t xml:space="preserve"> </w:t>
      </w:r>
    </w:p>
    <w:p w:rsidR="00046DD9" w:rsidRPr="00095D1E" w:rsidRDefault="00C53A52" w:rsidP="00095D1E">
      <w:pPr>
        <w:pStyle w:val="ListParagraph"/>
        <w:widowControl w:val="0"/>
        <w:numPr>
          <w:ilvl w:val="1"/>
          <w:numId w:val="4"/>
        </w:numPr>
        <w:spacing w:before="100" w:beforeAutospacing="1" w:after="100" w:afterAutospacing="1" w:line="360" w:lineRule="auto"/>
        <w:rPr>
          <w:rFonts w:asciiTheme="majorBidi" w:hAnsiTheme="majorBidi" w:cstheme="majorBidi"/>
          <w:b/>
          <w:bCs/>
          <w:i/>
          <w:iCs/>
          <w:sz w:val="20"/>
          <w:szCs w:val="20"/>
        </w:rPr>
      </w:pPr>
      <w:r w:rsidRPr="00095D1E">
        <w:rPr>
          <w:rFonts w:asciiTheme="majorBidi" w:hAnsiTheme="majorBidi" w:cstheme="majorBidi"/>
          <w:b/>
          <w:bCs/>
          <w:i/>
          <w:iCs/>
          <w:sz w:val="20"/>
          <w:szCs w:val="20"/>
        </w:rPr>
        <w:t>Conventional PCR showing betaglycan expression as bands on agarose gel following No stimulation, following IL-1 and following IL-6 stimul</w:t>
      </w:r>
      <w:r w:rsidR="00AB0A80">
        <w:rPr>
          <w:rFonts w:asciiTheme="majorBidi" w:hAnsiTheme="majorBidi" w:cstheme="majorBidi"/>
          <w:b/>
          <w:bCs/>
          <w:i/>
          <w:iCs/>
          <w:sz w:val="20"/>
          <w:szCs w:val="20"/>
        </w:rPr>
        <w:t>ation compared with actin bands</w:t>
      </w:r>
    </w:p>
    <w:p w:rsidR="009A7757" w:rsidRPr="007F7899" w:rsidRDefault="00095D1E" w:rsidP="00095D1E">
      <w:pPr>
        <w:widowControl w:val="0"/>
        <w:spacing w:before="100" w:beforeAutospacing="1" w:after="100" w:afterAutospacing="1" w:line="360" w:lineRule="auto"/>
        <w:jc w:val="center"/>
        <w:rPr>
          <w:rFonts w:asciiTheme="majorBidi" w:hAnsiTheme="majorBidi" w:cstheme="majorBidi"/>
          <w:b/>
          <w:bCs/>
          <w:sz w:val="20"/>
          <w:szCs w:val="20"/>
        </w:rPr>
      </w:pPr>
      <w:r>
        <w:rPr>
          <w:noProof/>
          <w:lang w:val="en-US"/>
        </w:rPr>
        <w:lastRenderedPageBreak/>
        <w:drawing>
          <wp:inline distT="0" distB="0" distL="0" distR="0" wp14:anchorId="2398207B" wp14:editId="3B0E7C10">
            <wp:extent cx="3721172" cy="32956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732327" cy="3305530"/>
                    </a:xfrm>
                    <a:prstGeom prst="rect">
                      <a:avLst/>
                    </a:prstGeom>
                  </pic:spPr>
                </pic:pic>
              </a:graphicData>
            </a:graphic>
          </wp:inline>
        </w:drawing>
      </w:r>
    </w:p>
    <w:p w:rsidR="00095D1E" w:rsidRPr="007F7899" w:rsidRDefault="00095D1E" w:rsidP="00095D1E">
      <w:pPr>
        <w:widowControl w:val="0"/>
        <w:spacing w:before="100" w:beforeAutospacing="1" w:after="100" w:afterAutospacing="1" w:line="360" w:lineRule="auto"/>
        <w:jc w:val="center"/>
        <w:rPr>
          <w:rFonts w:asciiTheme="majorBidi" w:hAnsiTheme="majorBidi" w:cstheme="majorBidi"/>
          <w:b/>
          <w:bCs/>
          <w:sz w:val="20"/>
          <w:szCs w:val="20"/>
        </w:rPr>
      </w:pPr>
      <w:r w:rsidRPr="007F7899">
        <w:rPr>
          <w:rFonts w:asciiTheme="majorBidi" w:hAnsiTheme="majorBidi" w:cstheme="majorBidi"/>
          <w:b/>
          <w:bCs/>
          <w:sz w:val="20"/>
          <w:szCs w:val="20"/>
        </w:rPr>
        <w:t>Figure 6</w:t>
      </w:r>
      <w:r>
        <w:rPr>
          <w:rFonts w:asciiTheme="majorBidi" w:hAnsiTheme="majorBidi" w:cstheme="majorBidi"/>
          <w:b/>
          <w:bCs/>
          <w:sz w:val="20"/>
          <w:szCs w:val="20"/>
        </w:rPr>
        <w:t xml:space="preserve">: </w:t>
      </w:r>
      <w:r w:rsidRPr="00095D1E">
        <w:rPr>
          <w:rFonts w:asciiTheme="majorBidi" w:hAnsiTheme="majorBidi" w:cstheme="majorBidi"/>
          <w:sz w:val="20"/>
          <w:szCs w:val="20"/>
        </w:rPr>
        <w:t>Conventional PCR Confirmation by Quantitative (Q-PCR), Concentration dependent induction (IL-1, IL-6 and TGF-β) of betaglycan expression</w:t>
      </w:r>
      <w:r>
        <w:rPr>
          <w:rFonts w:asciiTheme="majorBidi" w:hAnsiTheme="majorBidi" w:cstheme="majorBidi"/>
          <w:b/>
          <w:bCs/>
          <w:sz w:val="20"/>
          <w:szCs w:val="20"/>
        </w:rPr>
        <w:t xml:space="preserve"> </w:t>
      </w:r>
    </w:p>
    <w:p w:rsidR="00A70E28" w:rsidRPr="007F7899" w:rsidRDefault="00A54FD0" w:rsidP="00095D1E">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To identify the most effective dose of IL-1, IL-6 or TGF-β that produced the greatest betaglycan expression, different concentrations of cytokines were used to stimulate HK2 cells at the optimal ti</w:t>
      </w:r>
      <w:r w:rsidR="002B06F0" w:rsidRPr="007F7899">
        <w:rPr>
          <w:rFonts w:asciiTheme="majorBidi" w:hAnsiTheme="majorBidi" w:cstheme="majorBidi"/>
          <w:sz w:val="20"/>
          <w:szCs w:val="20"/>
        </w:rPr>
        <w:t>me which was chosen as 12 hours</w:t>
      </w:r>
      <w:r w:rsidR="00A70E28" w:rsidRPr="007F7899">
        <w:rPr>
          <w:rFonts w:asciiTheme="majorBidi" w:hAnsiTheme="majorBidi" w:cstheme="majorBidi"/>
          <w:sz w:val="20"/>
          <w:szCs w:val="20"/>
        </w:rPr>
        <w:t>.The results revealed that 0.5 ng/ml was the most effective dose for both IL-1 and IL-6 to produce maximum betaglycan expression while 10 ng/ml was the most effective dose for TGF-β (Figures</w:t>
      </w:r>
      <w:r w:rsidR="00EA1278" w:rsidRPr="007F7899">
        <w:rPr>
          <w:rFonts w:asciiTheme="majorBidi" w:hAnsiTheme="majorBidi" w:cstheme="majorBidi"/>
          <w:sz w:val="20"/>
          <w:szCs w:val="20"/>
        </w:rPr>
        <w:t xml:space="preserve"> 7</w:t>
      </w:r>
      <w:proofErr w:type="gramStart"/>
      <w:r w:rsidR="00EA1278" w:rsidRPr="007F7899">
        <w:rPr>
          <w:rFonts w:asciiTheme="majorBidi" w:hAnsiTheme="majorBidi" w:cstheme="majorBidi"/>
          <w:sz w:val="20"/>
          <w:szCs w:val="20"/>
        </w:rPr>
        <w:t>,8,9</w:t>
      </w:r>
      <w:proofErr w:type="gramEnd"/>
      <w:r w:rsidR="00871E3E" w:rsidRPr="007F7899">
        <w:rPr>
          <w:rFonts w:asciiTheme="majorBidi" w:hAnsiTheme="majorBidi" w:cstheme="majorBidi"/>
          <w:sz w:val="20"/>
          <w:szCs w:val="20"/>
        </w:rPr>
        <w:t>) :</w:t>
      </w:r>
    </w:p>
    <w:p w:rsidR="002B06F0" w:rsidRPr="00095D1E" w:rsidRDefault="002B06F0" w:rsidP="00095D1E">
      <w:pPr>
        <w:widowControl w:val="0"/>
        <w:spacing w:before="100" w:beforeAutospacing="1" w:after="100" w:afterAutospacing="1" w:line="360" w:lineRule="auto"/>
        <w:jc w:val="center"/>
        <w:rPr>
          <w:rFonts w:asciiTheme="majorBidi" w:hAnsiTheme="majorBidi" w:cstheme="majorBidi"/>
          <w:sz w:val="20"/>
          <w:szCs w:val="20"/>
        </w:rPr>
      </w:pPr>
      <w:r w:rsidRPr="007F7899">
        <w:rPr>
          <w:rFonts w:asciiTheme="majorBidi" w:hAnsiTheme="majorBidi" w:cstheme="majorBidi"/>
          <w:b/>
          <w:noProof/>
          <w:sz w:val="20"/>
          <w:szCs w:val="20"/>
          <w:lang w:val="en-US"/>
        </w:rPr>
        <w:drawing>
          <wp:inline distT="0" distB="0" distL="0" distR="0" wp14:anchorId="1FEFD049" wp14:editId="4E163172">
            <wp:extent cx="3600450" cy="2952750"/>
            <wp:effectExtent l="0" t="0" r="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95D1E" w:rsidRPr="007F7899" w:rsidRDefault="00AB0A80" w:rsidP="00095D1E">
      <w:pPr>
        <w:widowControl w:val="0"/>
        <w:spacing w:before="100" w:beforeAutospacing="1" w:after="100" w:afterAutospacing="1" w:line="360" w:lineRule="auto"/>
        <w:jc w:val="center"/>
        <w:rPr>
          <w:rFonts w:asciiTheme="majorBidi" w:hAnsiTheme="majorBidi" w:cstheme="majorBidi"/>
          <w:b/>
          <w:bCs/>
          <w:sz w:val="20"/>
          <w:szCs w:val="20"/>
        </w:rPr>
      </w:pPr>
      <w:r>
        <w:rPr>
          <w:rFonts w:asciiTheme="majorBidi" w:hAnsiTheme="majorBidi" w:cstheme="majorBidi"/>
          <w:b/>
          <w:bCs/>
          <w:sz w:val="20"/>
          <w:szCs w:val="20"/>
        </w:rPr>
        <w:t>Figure 7</w:t>
      </w:r>
      <w:r w:rsidR="00095D1E">
        <w:rPr>
          <w:rFonts w:asciiTheme="majorBidi" w:hAnsiTheme="majorBidi" w:cstheme="majorBidi"/>
          <w:b/>
          <w:bCs/>
          <w:sz w:val="20"/>
          <w:szCs w:val="20"/>
        </w:rPr>
        <w:t>:</w:t>
      </w:r>
      <w:r>
        <w:rPr>
          <w:rFonts w:asciiTheme="majorBidi" w:hAnsiTheme="majorBidi" w:cstheme="majorBidi"/>
          <w:b/>
          <w:bCs/>
          <w:sz w:val="20"/>
          <w:szCs w:val="20"/>
        </w:rPr>
        <w:t xml:space="preserve"> </w:t>
      </w:r>
      <w:r w:rsidR="00095D1E" w:rsidRPr="00095D1E">
        <w:rPr>
          <w:rFonts w:asciiTheme="majorBidi" w:hAnsiTheme="majorBidi" w:cstheme="majorBidi"/>
          <w:sz w:val="20"/>
          <w:szCs w:val="20"/>
        </w:rPr>
        <w:t>Dose Dependent of IL-1 Dose</w:t>
      </w:r>
      <w:r w:rsidR="00095D1E">
        <w:rPr>
          <w:rFonts w:asciiTheme="majorBidi" w:hAnsiTheme="majorBidi" w:cstheme="majorBidi"/>
          <w:b/>
          <w:bCs/>
          <w:sz w:val="20"/>
          <w:szCs w:val="20"/>
        </w:rPr>
        <w:t xml:space="preserve"> </w:t>
      </w:r>
    </w:p>
    <w:p w:rsidR="002B06F0" w:rsidRPr="007F7899" w:rsidRDefault="00B273B7" w:rsidP="00095D1E">
      <w:pPr>
        <w:widowControl w:val="0"/>
        <w:spacing w:before="100" w:beforeAutospacing="1" w:after="100" w:afterAutospacing="1" w:line="360" w:lineRule="auto"/>
        <w:jc w:val="center"/>
        <w:rPr>
          <w:rFonts w:asciiTheme="majorBidi" w:hAnsiTheme="majorBidi" w:cstheme="majorBidi"/>
          <w:sz w:val="20"/>
          <w:szCs w:val="20"/>
        </w:rPr>
      </w:pPr>
      <w:r w:rsidRPr="007F7899">
        <w:rPr>
          <w:rFonts w:asciiTheme="majorBidi" w:eastAsia="Calibri" w:hAnsiTheme="majorBidi" w:cstheme="majorBidi"/>
          <w:b/>
          <w:noProof/>
          <w:sz w:val="20"/>
          <w:szCs w:val="20"/>
          <w:lang w:val="en-US"/>
        </w:rPr>
        <w:lastRenderedPageBreak/>
        <w:drawing>
          <wp:inline distT="0" distB="0" distL="0" distR="0" wp14:anchorId="3F9359E8" wp14:editId="12ECE483">
            <wp:extent cx="5143500" cy="3619500"/>
            <wp:effectExtent l="0" t="0" r="0" b="0"/>
            <wp:docPr id="5"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 cstate="print"/>
                    <a:srcRect/>
                    <a:stretch>
                      <a:fillRect/>
                    </a:stretch>
                  </pic:blipFill>
                  <pic:spPr bwMode="auto">
                    <a:xfrm>
                      <a:off x="0" y="0"/>
                      <a:ext cx="5143701" cy="3619641"/>
                    </a:xfrm>
                    <a:prstGeom prst="rect">
                      <a:avLst/>
                    </a:prstGeom>
                    <a:noFill/>
                  </pic:spPr>
                </pic:pic>
              </a:graphicData>
            </a:graphic>
          </wp:inline>
        </w:drawing>
      </w:r>
    </w:p>
    <w:p w:rsidR="0000384D" w:rsidRPr="007F7899" w:rsidRDefault="0000384D" w:rsidP="007F7899">
      <w:pPr>
        <w:widowControl w:val="0"/>
        <w:spacing w:before="100" w:beforeAutospacing="1" w:after="100" w:afterAutospacing="1" w:line="360" w:lineRule="auto"/>
        <w:jc w:val="both"/>
        <w:rPr>
          <w:rFonts w:asciiTheme="majorBidi" w:hAnsiTheme="majorBidi" w:cstheme="majorBidi"/>
          <w:b/>
          <w:bCs/>
          <w:sz w:val="20"/>
          <w:szCs w:val="20"/>
        </w:rPr>
      </w:pPr>
      <w:r w:rsidRPr="007F7899">
        <w:rPr>
          <w:rFonts w:asciiTheme="majorBidi" w:hAnsiTheme="majorBidi" w:cstheme="majorBidi"/>
          <w:sz w:val="20"/>
          <w:szCs w:val="20"/>
        </w:rPr>
        <w:t xml:space="preserve">                                                                   </w:t>
      </w:r>
      <w:r w:rsidRPr="007F7899">
        <w:rPr>
          <w:rFonts w:asciiTheme="majorBidi" w:hAnsiTheme="majorBidi" w:cstheme="majorBidi"/>
          <w:b/>
          <w:bCs/>
          <w:sz w:val="20"/>
          <w:szCs w:val="20"/>
        </w:rPr>
        <w:t>Concentration of IL-6</w:t>
      </w:r>
    </w:p>
    <w:p w:rsidR="00095D1E" w:rsidRPr="007F7899" w:rsidRDefault="00095D1E" w:rsidP="00095D1E">
      <w:pPr>
        <w:widowControl w:val="0"/>
        <w:spacing w:before="100" w:beforeAutospacing="1" w:after="100" w:afterAutospacing="1" w:line="360" w:lineRule="auto"/>
        <w:jc w:val="center"/>
        <w:rPr>
          <w:rFonts w:asciiTheme="majorBidi" w:hAnsiTheme="majorBidi" w:cstheme="majorBidi"/>
          <w:b/>
          <w:bCs/>
          <w:sz w:val="20"/>
          <w:szCs w:val="20"/>
        </w:rPr>
      </w:pPr>
      <w:r w:rsidRPr="007F7899">
        <w:rPr>
          <w:rFonts w:asciiTheme="majorBidi" w:hAnsiTheme="majorBidi" w:cstheme="majorBidi"/>
          <w:b/>
          <w:bCs/>
          <w:sz w:val="20"/>
          <w:szCs w:val="20"/>
        </w:rPr>
        <w:t xml:space="preserve">Figure 8: </w:t>
      </w:r>
      <w:r w:rsidRPr="00095D1E">
        <w:rPr>
          <w:rFonts w:asciiTheme="majorBidi" w:hAnsiTheme="majorBidi" w:cstheme="majorBidi"/>
          <w:sz w:val="20"/>
          <w:szCs w:val="20"/>
        </w:rPr>
        <w:t xml:space="preserve">The most effective dose of the cytokine (IL6) induced BG express. </w:t>
      </w:r>
      <w:proofErr w:type="gramStart"/>
      <w:r w:rsidRPr="00095D1E">
        <w:rPr>
          <w:rFonts w:asciiTheme="majorBidi" w:hAnsiTheme="majorBidi" w:cstheme="majorBidi"/>
          <w:sz w:val="20"/>
          <w:szCs w:val="20"/>
        </w:rPr>
        <w:t>at</w:t>
      </w:r>
      <w:proofErr w:type="gramEnd"/>
      <w:r w:rsidRPr="00095D1E">
        <w:rPr>
          <w:rFonts w:asciiTheme="majorBidi" w:hAnsiTheme="majorBidi" w:cstheme="majorBidi"/>
          <w:sz w:val="20"/>
          <w:szCs w:val="20"/>
        </w:rPr>
        <w:t xml:space="preserve"> 12 hours’:</w:t>
      </w:r>
    </w:p>
    <w:p w:rsidR="00E82C4A" w:rsidRPr="007F7899" w:rsidRDefault="00166300" w:rsidP="00095D1E">
      <w:pPr>
        <w:widowControl w:val="0"/>
        <w:spacing w:before="100" w:beforeAutospacing="1" w:after="100" w:afterAutospacing="1" w:line="360" w:lineRule="auto"/>
        <w:jc w:val="center"/>
        <w:rPr>
          <w:rFonts w:asciiTheme="majorBidi" w:hAnsiTheme="majorBidi" w:cstheme="majorBidi"/>
          <w:b/>
          <w:bCs/>
          <w:sz w:val="20"/>
          <w:szCs w:val="20"/>
        </w:rPr>
      </w:pPr>
      <w:r w:rsidRPr="007F7899">
        <w:rPr>
          <w:rFonts w:asciiTheme="majorBidi" w:hAnsiTheme="majorBidi" w:cstheme="majorBidi"/>
          <w:b/>
          <w:noProof/>
          <w:sz w:val="20"/>
          <w:szCs w:val="20"/>
          <w:lang w:val="en-US"/>
        </w:rPr>
        <w:drawing>
          <wp:inline distT="0" distB="0" distL="0" distR="0" wp14:anchorId="25073727" wp14:editId="20DBAA89">
            <wp:extent cx="4181475" cy="3057525"/>
            <wp:effectExtent l="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95D1E" w:rsidRPr="007F7899" w:rsidRDefault="00095D1E" w:rsidP="00095D1E">
      <w:pPr>
        <w:widowControl w:val="0"/>
        <w:spacing w:before="100" w:beforeAutospacing="1" w:after="100" w:afterAutospacing="1" w:line="360" w:lineRule="auto"/>
        <w:jc w:val="center"/>
        <w:rPr>
          <w:rFonts w:asciiTheme="majorBidi" w:hAnsiTheme="majorBidi" w:cstheme="majorBidi"/>
          <w:b/>
          <w:bCs/>
          <w:sz w:val="20"/>
          <w:szCs w:val="20"/>
        </w:rPr>
      </w:pPr>
      <w:r>
        <w:rPr>
          <w:rFonts w:asciiTheme="majorBidi" w:hAnsiTheme="majorBidi" w:cstheme="majorBidi"/>
          <w:b/>
          <w:bCs/>
          <w:sz w:val="20"/>
          <w:szCs w:val="20"/>
        </w:rPr>
        <w:t xml:space="preserve">Figure 9: </w:t>
      </w:r>
      <w:r w:rsidRPr="00095D1E">
        <w:rPr>
          <w:rFonts w:asciiTheme="majorBidi" w:hAnsiTheme="majorBidi" w:cstheme="majorBidi"/>
          <w:sz w:val="20"/>
          <w:szCs w:val="20"/>
        </w:rPr>
        <w:t>The most effective dose of the cytokine (TGF-β) induced betaglycan expression at 12 hours’ time point</w:t>
      </w:r>
      <w:r>
        <w:rPr>
          <w:rFonts w:asciiTheme="majorBidi" w:hAnsiTheme="majorBidi" w:cstheme="majorBidi"/>
          <w:b/>
          <w:bCs/>
          <w:sz w:val="20"/>
          <w:szCs w:val="20"/>
        </w:rPr>
        <w:t xml:space="preserve"> </w:t>
      </w:r>
    </w:p>
    <w:p w:rsidR="00E7226A" w:rsidRPr="007F7899" w:rsidRDefault="00095D1E" w:rsidP="00095D1E">
      <w:pPr>
        <w:widowControl w:val="0"/>
        <w:spacing w:before="100" w:beforeAutospacing="1" w:after="100" w:afterAutospacing="1" w:line="360" w:lineRule="auto"/>
        <w:jc w:val="center"/>
        <w:rPr>
          <w:rFonts w:asciiTheme="majorBidi" w:hAnsiTheme="majorBidi" w:cstheme="majorBidi"/>
          <w:b/>
          <w:bCs/>
          <w:sz w:val="20"/>
          <w:szCs w:val="20"/>
        </w:rPr>
      </w:pPr>
      <w:r>
        <w:rPr>
          <w:noProof/>
          <w:lang w:val="en-US"/>
        </w:rPr>
        <w:lastRenderedPageBreak/>
        <w:drawing>
          <wp:inline distT="0" distB="0" distL="0" distR="0" wp14:anchorId="271A6B72" wp14:editId="6F500F3E">
            <wp:extent cx="1924050" cy="33813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924050" cy="3381375"/>
                    </a:xfrm>
                    <a:prstGeom prst="rect">
                      <a:avLst/>
                    </a:prstGeom>
                  </pic:spPr>
                </pic:pic>
              </a:graphicData>
            </a:graphic>
          </wp:inline>
        </w:drawing>
      </w:r>
    </w:p>
    <w:p w:rsidR="00B74FFA" w:rsidRPr="007F7899" w:rsidRDefault="00871E3E" w:rsidP="00095D1E">
      <w:pPr>
        <w:widowControl w:val="0"/>
        <w:spacing w:before="100" w:beforeAutospacing="1" w:after="100" w:afterAutospacing="1" w:line="360" w:lineRule="auto"/>
        <w:jc w:val="center"/>
        <w:rPr>
          <w:rFonts w:asciiTheme="majorBidi" w:hAnsiTheme="majorBidi" w:cstheme="majorBidi"/>
          <w:b/>
          <w:bCs/>
          <w:sz w:val="20"/>
          <w:szCs w:val="20"/>
        </w:rPr>
      </w:pPr>
      <w:r w:rsidRPr="007F7899">
        <w:rPr>
          <w:rFonts w:asciiTheme="majorBidi" w:hAnsiTheme="majorBidi" w:cstheme="majorBidi"/>
          <w:b/>
          <w:bCs/>
          <w:sz w:val="20"/>
          <w:szCs w:val="20"/>
        </w:rPr>
        <w:t xml:space="preserve">Figure </w:t>
      </w:r>
      <w:r w:rsidR="00055A6F" w:rsidRPr="007F7899">
        <w:rPr>
          <w:rFonts w:asciiTheme="majorBidi" w:hAnsiTheme="majorBidi" w:cstheme="majorBidi"/>
          <w:b/>
          <w:bCs/>
          <w:sz w:val="20"/>
          <w:szCs w:val="20"/>
        </w:rPr>
        <w:t>10</w:t>
      </w:r>
      <w:r w:rsidR="00AB0A80">
        <w:rPr>
          <w:rFonts w:asciiTheme="majorBidi" w:hAnsiTheme="majorBidi" w:cstheme="majorBidi"/>
          <w:b/>
          <w:bCs/>
          <w:sz w:val="20"/>
          <w:szCs w:val="20"/>
        </w:rPr>
        <w:t xml:space="preserve">: </w:t>
      </w:r>
      <w:proofErr w:type="gramStart"/>
      <w:r w:rsidR="00B74FFA" w:rsidRPr="00095D1E">
        <w:rPr>
          <w:rFonts w:asciiTheme="majorBidi" w:hAnsiTheme="majorBidi" w:cstheme="majorBidi"/>
          <w:sz w:val="20"/>
          <w:szCs w:val="20"/>
        </w:rPr>
        <w:t>Betaglycan  and</w:t>
      </w:r>
      <w:proofErr w:type="gramEnd"/>
      <w:r w:rsidR="00B74FFA" w:rsidRPr="00095D1E">
        <w:rPr>
          <w:rFonts w:asciiTheme="majorBidi" w:hAnsiTheme="majorBidi" w:cstheme="majorBidi"/>
          <w:sz w:val="20"/>
          <w:szCs w:val="20"/>
        </w:rPr>
        <w:t xml:space="preserve">  its  degradation  products</w:t>
      </w:r>
    </w:p>
    <w:p w:rsidR="00B74FFA" w:rsidRPr="007F7899" w:rsidRDefault="00095FD7" w:rsidP="007F7899">
      <w:pPr>
        <w:widowControl w:val="0"/>
        <w:spacing w:before="100" w:beforeAutospacing="1" w:after="100" w:afterAutospacing="1" w:line="360" w:lineRule="auto"/>
        <w:jc w:val="both"/>
        <w:rPr>
          <w:rFonts w:asciiTheme="majorBidi" w:hAnsiTheme="majorBidi" w:cstheme="majorBidi"/>
          <w:b/>
          <w:bCs/>
          <w:sz w:val="20"/>
          <w:szCs w:val="20"/>
        </w:rPr>
      </w:pPr>
      <w:r w:rsidRPr="007F7899">
        <w:rPr>
          <w:rFonts w:asciiTheme="majorBidi" w:hAnsiTheme="majorBidi" w:cstheme="majorBidi"/>
          <w:b/>
          <w:bCs/>
          <w:sz w:val="20"/>
          <w:szCs w:val="20"/>
        </w:rPr>
        <w:t xml:space="preserve">                                </w:t>
      </w:r>
      <w:r w:rsidR="002060B3" w:rsidRPr="007F7899">
        <w:rPr>
          <w:rFonts w:asciiTheme="majorBidi" w:hAnsiTheme="majorBidi" w:cstheme="majorBidi"/>
          <w:b/>
          <w:bCs/>
          <w:sz w:val="20"/>
          <w:szCs w:val="20"/>
        </w:rPr>
        <w:t xml:space="preserve">HiMarkTM   </w:t>
      </w:r>
      <w:r w:rsidRPr="007F7899">
        <w:rPr>
          <w:rFonts w:asciiTheme="majorBidi" w:hAnsiTheme="majorBidi" w:cstheme="majorBidi"/>
          <w:b/>
          <w:bCs/>
          <w:sz w:val="20"/>
          <w:szCs w:val="20"/>
        </w:rPr>
        <w:t xml:space="preserve">    </w:t>
      </w:r>
      <w:r w:rsidR="002060B3" w:rsidRPr="007F7899">
        <w:rPr>
          <w:rFonts w:asciiTheme="majorBidi" w:hAnsiTheme="majorBidi" w:cstheme="majorBidi"/>
          <w:b/>
          <w:bCs/>
          <w:sz w:val="20"/>
          <w:szCs w:val="20"/>
        </w:rPr>
        <w:t xml:space="preserve"> Betaglycan and </w:t>
      </w:r>
      <w:proofErr w:type="gramStart"/>
      <w:r w:rsidR="002060B3" w:rsidRPr="007F7899">
        <w:rPr>
          <w:rFonts w:asciiTheme="majorBidi" w:hAnsiTheme="majorBidi" w:cstheme="majorBidi"/>
          <w:b/>
          <w:bCs/>
          <w:sz w:val="20"/>
          <w:szCs w:val="20"/>
        </w:rPr>
        <w:t xml:space="preserve">its </w:t>
      </w:r>
      <w:r w:rsidR="00B74FFA" w:rsidRPr="007F7899">
        <w:rPr>
          <w:rFonts w:asciiTheme="majorBidi" w:hAnsiTheme="majorBidi" w:cstheme="majorBidi"/>
          <w:b/>
          <w:bCs/>
          <w:sz w:val="20"/>
          <w:szCs w:val="20"/>
        </w:rPr>
        <w:t xml:space="preserve"> </w:t>
      </w:r>
      <w:r w:rsidR="002060B3" w:rsidRPr="007F7899">
        <w:rPr>
          <w:rFonts w:asciiTheme="majorBidi" w:hAnsiTheme="majorBidi" w:cstheme="majorBidi"/>
          <w:b/>
          <w:bCs/>
          <w:sz w:val="20"/>
          <w:szCs w:val="20"/>
        </w:rPr>
        <w:t>Degredation</w:t>
      </w:r>
      <w:proofErr w:type="gramEnd"/>
      <w:r w:rsidR="002060B3" w:rsidRPr="007F7899">
        <w:rPr>
          <w:rFonts w:asciiTheme="majorBidi" w:hAnsiTheme="majorBidi" w:cstheme="majorBidi"/>
          <w:b/>
          <w:bCs/>
          <w:sz w:val="20"/>
          <w:szCs w:val="20"/>
        </w:rPr>
        <w:t xml:space="preserve"> products.</w:t>
      </w:r>
    </w:p>
    <w:p w:rsidR="00C21D1B" w:rsidRPr="00095D1E" w:rsidRDefault="00E158FA" w:rsidP="00AB0A80">
      <w:pPr>
        <w:pStyle w:val="ListParagraph"/>
        <w:widowControl w:val="0"/>
        <w:numPr>
          <w:ilvl w:val="1"/>
          <w:numId w:val="4"/>
        </w:numPr>
        <w:spacing w:before="100" w:beforeAutospacing="1" w:after="100" w:afterAutospacing="1" w:line="360" w:lineRule="auto"/>
        <w:ind w:left="360"/>
        <w:jc w:val="both"/>
        <w:rPr>
          <w:rFonts w:asciiTheme="majorBidi" w:hAnsiTheme="majorBidi" w:cstheme="majorBidi"/>
          <w:b/>
          <w:bCs/>
          <w:i/>
          <w:iCs/>
          <w:sz w:val="20"/>
          <w:szCs w:val="20"/>
        </w:rPr>
      </w:pPr>
      <w:r w:rsidRPr="00095D1E">
        <w:rPr>
          <w:rFonts w:asciiTheme="majorBidi" w:hAnsiTheme="majorBidi" w:cstheme="majorBidi"/>
          <w:b/>
          <w:bCs/>
          <w:i/>
          <w:iCs/>
          <w:sz w:val="20"/>
          <w:szCs w:val="20"/>
        </w:rPr>
        <w:t>Inhibition of Betaglycan Expression and Glyc</w:t>
      </w:r>
      <w:r w:rsidR="00095D1E" w:rsidRPr="00095D1E">
        <w:rPr>
          <w:rFonts w:asciiTheme="majorBidi" w:hAnsiTheme="majorBidi" w:cstheme="majorBidi"/>
          <w:b/>
          <w:bCs/>
          <w:i/>
          <w:iCs/>
          <w:sz w:val="20"/>
          <w:szCs w:val="20"/>
        </w:rPr>
        <w:t xml:space="preserve">osylation </w:t>
      </w:r>
    </w:p>
    <w:p w:rsidR="008770F8" w:rsidRPr="00095D1E" w:rsidRDefault="00870E43" w:rsidP="00095D1E">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knock-down of betaglycan  was achieved by using specific short interfering RNA (siRNA) to investigate the optimal time of betaglycan knock-down, what happened to TGF-β1 signalling and any phenotypical changes to the immortalized  HK2 cells. Whether the glycosylation of betaglycan was also important for its function was investigated using P-nitrophenyl-β-D-xylopyranoside to inhibit glycosylation.</w:t>
      </w:r>
    </w:p>
    <w:p w:rsidR="00215441" w:rsidRPr="00095D1E" w:rsidRDefault="00095D1E" w:rsidP="00AB0A80">
      <w:pPr>
        <w:pStyle w:val="ListParagraph"/>
        <w:widowControl w:val="0"/>
        <w:numPr>
          <w:ilvl w:val="1"/>
          <w:numId w:val="4"/>
        </w:numPr>
        <w:spacing w:before="100" w:beforeAutospacing="1" w:after="100" w:afterAutospacing="1" w:line="360" w:lineRule="auto"/>
        <w:ind w:left="360"/>
        <w:jc w:val="both"/>
        <w:rPr>
          <w:rFonts w:asciiTheme="majorBidi" w:hAnsiTheme="majorBidi" w:cstheme="majorBidi"/>
          <w:b/>
          <w:bCs/>
          <w:i/>
          <w:iCs/>
          <w:sz w:val="20"/>
          <w:szCs w:val="20"/>
        </w:rPr>
      </w:pPr>
      <w:r w:rsidRPr="00095D1E">
        <w:rPr>
          <w:rFonts w:asciiTheme="majorBidi" w:hAnsiTheme="majorBidi" w:cstheme="majorBidi"/>
          <w:b/>
          <w:bCs/>
          <w:i/>
          <w:iCs/>
          <w:sz w:val="20"/>
          <w:szCs w:val="20"/>
        </w:rPr>
        <w:t xml:space="preserve">Optimising Transfection Time </w:t>
      </w:r>
    </w:p>
    <w:p w:rsidR="00B60D43" w:rsidRDefault="00215441" w:rsidP="00095D1E">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The incubation time required for maximal knockdown of the target gene can vary depending on the specific siRNA used, and therefore the optimal transfection time for betaglycan was determined pr</w:t>
      </w:r>
      <w:r w:rsidR="00095D1E">
        <w:rPr>
          <w:rFonts w:asciiTheme="majorBidi" w:hAnsiTheme="majorBidi" w:cstheme="majorBidi"/>
          <w:sz w:val="20"/>
          <w:szCs w:val="20"/>
        </w:rPr>
        <w:t>ior to further experimentation.</w:t>
      </w:r>
      <w:r w:rsidRPr="007F7899">
        <w:rPr>
          <w:rFonts w:asciiTheme="majorBidi" w:hAnsiTheme="majorBidi" w:cstheme="majorBidi"/>
          <w:sz w:val="20"/>
          <w:szCs w:val="20"/>
        </w:rPr>
        <w:t>Betaglycan was knocked-down by transfection with specific siRNA.</w:t>
      </w:r>
    </w:p>
    <w:p w:rsidR="00B60D43" w:rsidRDefault="00215441" w:rsidP="00095D1E">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 In the following experiment, determination of the optimal time of knock-down will help; namely at what time TGF-β can be best controlled by betaglycan.</w:t>
      </w:r>
    </w:p>
    <w:p w:rsidR="00B60D43" w:rsidRDefault="00215441" w:rsidP="00095D1E">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  The concentration of betaglycan siRNA was 20 mmolar, the scramble concentration was 40 pmol per microlitre and the end</w:t>
      </w:r>
      <w:r w:rsidR="00095D1E">
        <w:rPr>
          <w:rFonts w:asciiTheme="majorBidi" w:hAnsiTheme="majorBidi" w:cstheme="majorBidi"/>
          <w:sz w:val="20"/>
          <w:szCs w:val="20"/>
        </w:rPr>
        <w:t xml:space="preserve"> concentration was </w:t>
      </w:r>
      <w:proofErr w:type="gramStart"/>
      <w:r w:rsidR="00095D1E">
        <w:rPr>
          <w:rFonts w:asciiTheme="majorBidi" w:hAnsiTheme="majorBidi" w:cstheme="majorBidi"/>
          <w:sz w:val="20"/>
          <w:szCs w:val="20"/>
        </w:rPr>
        <w:t>33 nm/well</w:t>
      </w:r>
      <w:proofErr w:type="gramEnd"/>
      <w:r w:rsidR="00095D1E">
        <w:rPr>
          <w:rFonts w:asciiTheme="majorBidi" w:hAnsiTheme="majorBidi" w:cstheme="majorBidi"/>
          <w:sz w:val="20"/>
          <w:szCs w:val="20"/>
        </w:rPr>
        <w:t>.</w:t>
      </w:r>
    </w:p>
    <w:p w:rsidR="00B60D43" w:rsidRDefault="00095D1E" w:rsidP="00095D1E">
      <w:pPr>
        <w:widowControl w:val="0"/>
        <w:spacing w:before="100" w:beforeAutospacing="1" w:after="100" w:afterAutospacing="1" w:line="360" w:lineRule="auto"/>
        <w:jc w:val="both"/>
        <w:rPr>
          <w:rFonts w:asciiTheme="majorBidi" w:hAnsiTheme="majorBidi" w:cstheme="majorBidi"/>
          <w:sz w:val="20"/>
          <w:szCs w:val="20"/>
        </w:rPr>
      </w:pPr>
      <w:r>
        <w:rPr>
          <w:rFonts w:asciiTheme="majorBidi" w:hAnsiTheme="majorBidi" w:cstheme="majorBidi"/>
          <w:sz w:val="20"/>
          <w:szCs w:val="20"/>
        </w:rPr>
        <w:t xml:space="preserve"> </w:t>
      </w:r>
      <w:r w:rsidR="00215441" w:rsidRPr="007F7899">
        <w:rPr>
          <w:rFonts w:asciiTheme="majorBidi" w:hAnsiTheme="majorBidi" w:cstheme="majorBidi"/>
          <w:sz w:val="20"/>
          <w:szCs w:val="20"/>
        </w:rPr>
        <w:t xml:space="preserve">The degree of TGF-βIII knock-down was measured by Q-PCR.  Cells were transfected with siRNA and mRNA extracted for times up to 72 hours. </w:t>
      </w:r>
    </w:p>
    <w:p w:rsidR="00215441" w:rsidRPr="007F7899" w:rsidRDefault="00215441" w:rsidP="00095D1E">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lastRenderedPageBreak/>
        <w:t xml:space="preserve"> Knock-down was found to be maximal</w:t>
      </w:r>
      <w:r w:rsidR="00F63ED2" w:rsidRPr="007F7899">
        <w:rPr>
          <w:rFonts w:asciiTheme="majorBidi" w:hAnsiTheme="majorBidi" w:cstheme="majorBidi"/>
          <w:sz w:val="20"/>
          <w:szCs w:val="20"/>
        </w:rPr>
        <w:t xml:space="preserve"> at 12 hours onwards (Figure 11</w:t>
      </w:r>
      <w:r w:rsidRPr="007F7899">
        <w:rPr>
          <w:rFonts w:asciiTheme="majorBidi" w:hAnsiTheme="majorBidi" w:cstheme="majorBidi"/>
          <w:sz w:val="20"/>
          <w:szCs w:val="20"/>
        </w:rPr>
        <w:t>).  At 24 hours 80% knock-down which was highly significant (Figur</w:t>
      </w:r>
      <w:r w:rsidR="004B644E" w:rsidRPr="007F7899">
        <w:rPr>
          <w:rFonts w:asciiTheme="majorBidi" w:hAnsiTheme="majorBidi" w:cstheme="majorBidi"/>
          <w:sz w:val="20"/>
          <w:szCs w:val="20"/>
        </w:rPr>
        <w:t>e 11</w:t>
      </w:r>
      <w:r w:rsidRPr="007F7899">
        <w:rPr>
          <w:rFonts w:asciiTheme="majorBidi" w:hAnsiTheme="majorBidi" w:cstheme="majorBidi"/>
          <w:sz w:val="20"/>
          <w:szCs w:val="20"/>
        </w:rPr>
        <w:t>).</w:t>
      </w:r>
    </w:p>
    <w:p w:rsidR="009D66CF" w:rsidRPr="007F7899" w:rsidRDefault="009D66CF" w:rsidP="00095D1E">
      <w:pPr>
        <w:widowControl w:val="0"/>
        <w:spacing w:before="100" w:beforeAutospacing="1" w:after="100" w:afterAutospacing="1" w:line="360" w:lineRule="auto"/>
        <w:jc w:val="center"/>
        <w:rPr>
          <w:rFonts w:asciiTheme="majorBidi" w:hAnsiTheme="majorBidi" w:cstheme="majorBidi"/>
          <w:sz w:val="20"/>
          <w:szCs w:val="20"/>
        </w:rPr>
      </w:pPr>
      <w:r w:rsidRPr="007F7899">
        <w:rPr>
          <w:rFonts w:asciiTheme="majorBidi" w:eastAsia="Calibri" w:hAnsiTheme="majorBidi" w:cstheme="majorBidi"/>
          <w:noProof/>
          <w:sz w:val="20"/>
          <w:szCs w:val="20"/>
          <w:vertAlign w:val="superscript"/>
          <w:lang w:val="en-US"/>
        </w:rPr>
        <w:drawing>
          <wp:inline distT="0" distB="0" distL="0" distR="0" wp14:anchorId="5D70D5F2" wp14:editId="4CCC9827">
            <wp:extent cx="2570559" cy="1869498"/>
            <wp:effectExtent l="0" t="0" r="127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r="7893" b="2035"/>
                    <a:stretch>
                      <a:fillRect/>
                    </a:stretch>
                  </pic:blipFill>
                  <pic:spPr bwMode="auto">
                    <a:xfrm>
                      <a:off x="0" y="0"/>
                      <a:ext cx="2588511" cy="1882554"/>
                    </a:xfrm>
                    <a:prstGeom prst="rect">
                      <a:avLst/>
                    </a:prstGeom>
                    <a:noFill/>
                    <a:ln w="9525">
                      <a:noFill/>
                      <a:miter lim="800000"/>
                      <a:headEnd/>
                      <a:tailEnd/>
                    </a:ln>
                  </pic:spPr>
                </pic:pic>
              </a:graphicData>
            </a:graphic>
          </wp:inline>
        </w:drawing>
      </w:r>
    </w:p>
    <w:p w:rsidR="00095D1E" w:rsidRPr="007F7899" w:rsidRDefault="00095D1E" w:rsidP="00095D1E">
      <w:pPr>
        <w:widowControl w:val="0"/>
        <w:spacing w:before="100" w:beforeAutospacing="1" w:after="100" w:afterAutospacing="1" w:line="360" w:lineRule="auto"/>
        <w:jc w:val="center"/>
        <w:rPr>
          <w:rFonts w:asciiTheme="majorBidi" w:hAnsiTheme="majorBidi" w:cstheme="majorBidi"/>
          <w:b/>
          <w:bCs/>
          <w:sz w:val="20"/>
          <w:szCs w:val="20"/>
        </w:rPr>
      </w:pPr>
      <w:r w:rsidRPr="007F7899">
        <w:rPr>
          <w:rFonts w:asciiTheme="majorBidi" w:hAnsiTheme="majorBidi" w:cstheme="majorBidi"/>
          <w:b/>
          <w:bCs/>
          <w:sz w:val="20"/>
          <w:szCs w:val="20"/>
        </w:rPr>
        <w:t>F</w:t>
      </w:r>
      <w:r>
        <w:rPr>
          <w:rFonts w:asciiTheme="majorBidi" w:hAnsiTheme="majorBidi" w:cstheme="majorBidi"/>
          <w:b/>
          <w:bCs/>
          <w:sz w:val="20"/>
          <w:szCs w:val="20"/>
        </w:rPr>
        <w:t>igure 11</w:t>
      </w:r>
      <w:r w:rsidRPr="007F7899">
        <w:rPr>
          <w:rFonts w:asciiTheme="majorBidi" w:hAnsiTheme="majorBidi" w:cstheme="majorBidi"/>
          <w:b/>
          <w:bCs/>
          <w:sz w:val="20"/>
          <w:szCs w:val="20"/>
        </w:rPr>
        <w:t xml:space="preserve">: </w:t>
      </w:r>
      <w:r w:rsidRPr="00095D1E">
        <w:rPr>
          <w:rFonts w:asciiTheme="majorBidi" w:hAnsiTheme="majorBidi" w:cstheme="majorBidi"/>
          <w:sz w:val="20"/>
          <w:szCs w:val="20"/>
        </w:rPr>
        <w:t>Optimising Transfection Time</w:t>
      </w:r>
      <w:r>
        <w:rPr>
          <w:rFonts w:asciiTheme="majorBidi" w:hAnsiTheme="majorBidi" w:cstheme="majorBidi"/>
          <w:b/>
          <w:bCs/>
          <w:sz w:val="20"/>
          <w:szCs w:val="20"/>
        </w:rPr>
        <w:t xml:space="preserve"> </w:t>
      </w:r>
    </w:p>
    <w:p w:rsidR="003C53A1" w:rsidRPr="00095D1E" w:rsidRDefault="003C53A1" w:rsidP="00AC1D01">
      <w:pPr>
        <w:pStyle w:val="ListParagraph"/>
        <w:widowControl w:val="0"/>
        <w:numPr>
          <w:ilvl w:val="1"/>
          <w:numId w:val="4"/>
        </w:numPr>
        <w:spacing w:before="100" w:beforeAutospacing="1" w:after="100" w:afterAutospacing="1" w:line="360" w:lineRule="auto"/>
        <w:ind w:left="540" w:hanging="540"/>
        <w:jc w:val="both"/>
        <w:rPr>
          <w:rFonts w:asciiTheme="majorBidi" w:hAnsiTheme="majorBidi" w:cstheme="majorBidi"/>
          <w:b/>
          <w:bCs/>
          <w:i/>
          <w:iCs/>
          <w:sz w:val="20"/>
          <w:szCs w:val="20"/>
        </w:rPr>
      </w:pPr>
      <w:r w:rsidRPr="00095D1E">
        <w:rPr>
          <w:rFonts w:asciiTheme="majorBidi" w:hAnsiTheme="majorBidi" w:cstheme="majorBidi"/>
          <w:b/>
          <w:bCs/>
          <w:i/>
          <w:iCs/>
          <w:sz w:val="20"/>
          <w:szCs w:val="20"/>
        </w:rPr>
        <w:t>The bar graphs showing the best time for betaglycan knock-down, every group done individually and compared to its own scramble</w:t>
      </w:r>
    </w:p>
    <w:p w:rsidR="003C53A1" w:rsidRDefault="0080613D"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The effect of betaglycan siRNA on Smad-III phosphorlation was also carried out by SDS-PAGE and Western blotting was revealed a significant change of P-smad</w:t>
      </w:r>
      <w:r w:rsidR="00AA1042" w:rsidRPr="007F7899">
        <w:rPr>
          <w:rFonts w:asciiTheme="majorBidi" w:hAnsiTheme="majorBidi" w:cstheme="majorBidi"/>
          <w:sz w:val="20"/>
          <w:szCs w:val="20"/>
        </w:rPr>
        <w:t>-III phosphorylation (Figure 12</w:t>
      </w:r>
      <w:r w:rsidRPr="007F7899">
        <w:rPr>
          <w:rFonts w:asciiTheme="majorBidi" w:hAnsiTheme="majorBidi" w:cstheme="majorBidi"/>
          <w:sz w:val="20"/>
          <w:szCs w:val="20"/>
        </w:rPr>
        <w:t>).</w:t>
      </w:r>
    </w:p>
    <w:p w:rsidR="00B60D43" w:rsidRPr="007F7899" w:rsidRDefault="00B60D43" w:rsidP="00B60D43">
      <w:pPr>
        <w:widowControl w:val="0"/>
        <w:spacing w:before="100" w:beforeAutospacing="1" w:after="100" w:afterAutospacing="1" w:line="360" w:lineRule="auto"/>
        <w:jc w:val="center"/>
        <w:rPr>
          <w:rFonts w:asciiTheme="majorBidi" w:hAnsiTheme="majorBidi" w:cstheme="majorBidi"/>
          <w:sz w:val="20"/>
          <w:szCs w:val="20"/>
        </w:rPr>
      </w:pPr>
      <w:r>
        <w:rPr>
          <w:noProof/>
          <w:lang w:val="en-US"/>
        </w:rPr>
        <w:drawing>
          <wp:inline distT="0" distB="0" distL="0" distR="0" wp14:anchorId="60649FF4" wp14:editId="6F8267B1">
            <wp:extent cx="4152900" cy="3307900"/>
            <wp:effectExtent l="0" t="0" r="0"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155319" cy="3309827"/>
                    </a:xfrm>
                    <a:prstGeom prst="rect">
                      <a:avLst/>
                    </a:prstGeom>
                  </pic:spPr>
                </pic:pic>
              </a:graphicData>
            </a:graphic>
          </wp:inline>
        </w:drawing>
      </w:r>
    </w:p>
    <w:p w:rsidR="00BD2C48" w:rsidRPr="007F7899" w:rsidRDefault="00B60D43" w:rsidP="00B60D43">
      <w:pPr>
        <w:widowControl w:val="0"/>
        <w:spacing w:before="100" w:beforeAutospacing="1" w:after="100" w:afterAutospacing="1" w:line="360" w:lineRule="auto"/>
        <w:jc w:val="center"/>
        <w:rPr>
          <w:rFonts w:asciiTheme="majorBidi" w:hAnsiTheme="majorBidi" w:cstheme="majorBidi"/>
          <w:b/>
          <w:bCs/>
          <w:sz w:val="20"/>
          <w:szCs w:val="20"/>
        </w:rPr>
      </w:pPr>
      <w:r>
        <w:rPr>
          <w:rFonts w:asciiTheme="majorBidi" w:hAnsiTheme="majorBidi" w:cstheme="majorBidi"/>
          <w:b/>
          <w:bCs/>
          <w:sz w:val="20"/>
          <w:szCs w:val="20"/>
        </w:rPr>
        <w:t>Figure 12</w:t>
      </w:r>
      <w:r w:rsidR="004E086D" w:rsidRPr="007F7899">
        <w:rPr>
          <w:rFonts w:asciiTheme="majorBidi" w:hAnsiTheme="majorBidi" w:cstheme="majorBidi"/>
          <w:b/>
          <w:bCs/>
          <w:sz w:val="20"/>
          <w:szCs w:val="20"/>
        </w:rPr>
        <w:t xml:space="preserve">:  </w:t>
      </w:r>
      <w:r w:rsidR="004E086D" w:rsidRPr="00B60D43">
        <w:rPr>
          <w:rFonts w:asciiTheme="majorBidi" w:hAnsiTheme="majorBidi" w:cstheme="majorBidi"/>
          <w:sz w:val="20"/>
          <w:szCs w:val="20"/>
        </w:rPr>
        <w:t>Betaglycan core protein inhibition by</w:t>
      </w:r>
      <w:r w:rsidRPr="00B60D43">
        <w:rPr>
          <w:rFonts w:asciiTheme="majorBidi" w:hAnsiTheme="majorBidi" w:cstheme="majorBidi"/>
          <w:sz w:val="20"/>
          <w:szCs w:val="20"/>
        </w:rPr>
        <w:t xml:space="preserve"> betaglycan siRNA transfection</w:t>
      </w:r>
      <w:r>
        <w:rPr>
          <w:rFonts w:asciiTheme="majorBidi" w:hAnsiTheme="majorBidi" w:cstheme="majorBidi"/>
          <w:b/>
          <w:bCs/>
          <w:sz w:val="20"/>
          <w:szCs w:val="20"/>
        </w:rPr>
        <w:t xml:space="preserve"> </w:t>
      </w:r>
    </w:p>
    <w:p w:rsidR="00AC1D01" w:rsidRDefault="00F01826" w:rsidP="00B60D43">
      <w:pPr>
        <w:widowControl w:val="0"/>
        <w:spacing w:before="100" w:beforeAutospacing="1" w:after="100" w:afterAutospacing="1" w:line="360" w:lineRule="auto"/>
        <w:jc w:val="both"/>
        <w:rPr>
          <w:rFonts w:asciiTheme="majorBidi" w:hAnsiTheme="majorBidi" w:cstheme="majorBidi"/>
          <w:sz w:val="20"/>
          <w:szCs w:val="20"/>
        </w:rPr>
      </w:pPr>
      <w:r w:rsidRPr="00B60D43">
        <w:rPr>
          <w:rFonts w:asciiTheme="majorBidi" w:eastAsia="Calibri" w:hAnsiTheme="majorBidi" w:cstheme="majorBidi"/>
          <w:i/>
          <w:sz w:val="20"/>
          <w:szCs w:val="20"/>
          <w:vertAlign w:val="superscript"/>
        </w:rPr>
        <w:t xml:space="preserve"> </w:t>
      </w:r>
      <w:r w:rsidR="008B2D4C" w:rsidRPr="00B60D43">
        <w:rPr>
          <w:rFonts w:asciiTheme="majorBidi" w:hAnsiTheme="majorBidi" w:cstheme="majorBidi"/>
          <w:sz w:val="20"/>
          <w:szCs w:val="20"/>
        </w:rPr>
        <w:t xml:space="preserve">Starting with the growing of HK2 cells until they become 50% confluent, they were kept in serum free media </w:t>
      </w:r>
      <w:r w:rsidR="00AA1042" w:rsidRPr="00B60D43">
        <w:rPr>
          <w:rFonts w:asciiTheme="majorBidi" w:hAnsiTheme="majorBidi" w:cstheme="majorBidi"/>
          <w:sz w:val="20"/>
          <w:szCs w:val="20"/>
        </w:rPr>
        <w:t>overnight</w:t>
      </w:r>
      <w:r w:rsidR="008B2D4C" w:rsidRPr="00B60D43">
        <w:rPr>
          <w:rFonts w:asciiTheme="majorBidi" w:hAnsiTheme="majorBidi" w:cstheme="majorBidi"/>
          <w:sz w:val="20"/>
          <w:szCs w:val="20"/>
        </w:rPr>
        <w:t xml:space="preserve"> then transfected with siRNA and incubated for 72 hours. </w:t>
      </w:r>
    </w:p>
    <w:p w:rsidR="00AC1D01" w:rsidRDefault="008B2D4C" w:rsidP="00B60D43">
      <w:pPr>
        <w:widowControl w:val="0"/>
        <w:spacing w:before="100" w:beforeAutospacing="1" w:after="100" w:afterAutospacing="1" w:line="360" w:lineRule="auto"/>
        <w:jc w:val="both"/>
        <w:rPr>
          <w:rFonts w:asciiTheme="majorBidi" w:hAnsiTheme="majorBidi" w:cstheme="majorBidi"/>
          <w:sz w:val="20"/>
          <w:szCs w:val="20"/>
        </w:rPr>
      </w:pPr>
      <w:r w:rsidRPr="00B60D43">
        <w:rPr>
          <w:rFonts w:asciiTheme="majorBidi" w:hAnsiTheme="majorBidi" w:cstheme="majorBidi"/>
          <w:sz w:val="20"/>
          <w:szCs w:val="20"/>
        </w:rPr>
        <w:lastRenderedPageBreak/>
        <w:t xml:space="preserve">The cells were then extracted for protein analysis by SDS-PAGE and Western blotting carried out.  </w:t>
      </w:r>
    </w:p>
    <w:p w:rsidR="008B2D4C" w:rsidRPr="00B60D43" w:rsidRDefault="008B2D4C" w:rsidP="00B60D43">
      <w:pPr>
        <w:widowControl w:val="0"/>
        <w:spacing w:before="100" w:beforeAutospacing="1" w:after="100" w:afterAutospacing="1" w:line="360" w:lineRule="auto"/>
        <w:jc w:val="both"/>
        <w:rPr>
          <w:rFonts w:asciiTheme="majorBidi" w:eastAsia="Calibri" w:hAnsiTheme="majorBidi" w:cstheme="majorBidi"/>
          <w:i/>
          <w:sz w:val="20"/>
          <w:szCs w:val="20"/>
          <w:vertAlign w:val="superscript"/>
        </w:rPr>
      </w:pPr>
      <w:r w:rsidRPr="00B60D43">
        <w:rPr>
          <w:rFonts w:asciiTheme="majorBidi" w:hAnsiTheme="majorBidi" w:cstheme="majorBidi"/>
          <w:sz w:val="20"/>
          <w:szCs w:val="20"/>
        </w:rPr>
        <w:t>There was a marked reduction in betaglycan protein expression i</w:t>
      </w:r>
      <w:r w:rsidR="00AA1042" w:rsidRPr="00B60D43">
        <w:rPr>
          <w:rFonts w:asciiTheme="majorBidi" w:hAnsiTheme="majorBidi" w:cstheme="majorBidi"/>
          <w:sz w:val="20"/>
          <w:szCs w:val="20"/>
        </w:rPr>
        <w:t>n knocked-down cells (Figure 13</w:t>
      </w:r>
      <w:r w:rsidRPr="00B60D43">
        <w:rPr>
          <w:rFonts w:asciiTheme="majorBidi" w:hAnsiTheme="majorBidi" w:cstheme="majorBidi"/>
          <w:sz w:val="20"/>
          <w:szCs w:val="20"/>
        </w:rPr>
        <w:t xml:space="preserve">), Samples were compared to GAPDH.  U = untransfected samples, S = Scrambled, </w:t>
      </w:r>
      <w:proofErr w:type="gramStart"/>
      <w:r w:rsidRPr="00B60D43">
        <w:rPr>
          <w:rFonts w:asciiTheme="majorBidi" w:hAnsiTheme="majorBidi" w:cstheme="majorBidi"/>
          <w:sz w:val="20"/>
          <w:szCs w:val="20"/>
        </w:rPr>
        <w:t>B(</w:t>
      </w:r>
      <w:proofErr w:type="gramEnd"/>
      <w:r w:rsidRPr="00B60D43">
        <w:rPr>
          <w:rFonts w:asciiTheme="majorBidi" w:hAnsiTheme="majorBidi" w:cstheme="majorBidi"/>
          <w:sz w:val="20"/>
          <w:szCs w:val="20"/>
        </w:rPr>
        <w:t>-) = betaglycan knock-down.</w:t>
      </w:r>
    </w:p>
    <w:p w:rsidR="00B60D43" w:rsidRDefault="00B60D43" w:rsidP="00B60D43">
      <w:pPr>
        <w:widowControl w:val="0"/>
        <w:spacing w:before="100" w:beforeAutospacing="1" w:after="100" w:afterAutospacing="1" w:line="360" w:lineRule="auto"/>
        <w:jc w:val="center"/>
        <w:rPr>
          <w:rFonts w:asciiTheme="majorBidi" w:eastAsia="Calibri" w:hAnsiTheme="majorBidi" w:cstheme="majorBidi"/>
          <w:b/>
          <w:sz w:val="20"/>
          <w:szCs w:val="20"/>
          <w:vertAlign w:val="superscript"/>
        </w:rPr>
      </w:pPr>
      <w:r>
        <w:rPr>
          <w:noProof/>
          <w:lang w:val="en-US"/>
        </w:rPr>
        <w:drawing>
          <wp:inline distT="0" distB="0" distL="0" distR="0" wp14:anchorId="283BB139" wp14:editId="525C06CB">
            <wp:extent cx="6143006" cy="37909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43006" cy="3790950"/>
                    </a:xfrm>
                    <a:prstGeom prst="rect">
                      <a:avLst/>
                    </a:prstGeom>
                  </pic:spPr>
                </pic:pic>
              </a:graphicData>
            </a:graphic>
          </wp:inline>
        </w:drawing>
      </w:r>
    </w:p>
    <w:p w:rsidR="008B2D4C" w:rsidRPr="007F7899" w:rsidRDefault="00B60D43" w:rsidP="00AC1D01">
      <w:pPr>
        <w:widowControl w:val="0"/>
        <w:spacing w:before="100" w:beforeAutospacing="1" w:after="100" w:afterAutospacing="1" w:line="360" w:lineRule="auto"/>
        <w:jc w:val="center"/>
        <w:rPr>
          <w:rFonts w:asciiTheme="majorBidi" w:hAnsiTheme="majorBidi" w:cstheme="majorBidi"/>
          <w:b/>
          <w:bCs/>
          <w:sz w:val="20"/>
          <w:szCs w:val="20"/>
        </w:rPr>
      </w:pPr>
      <w:r>
        <w:rPr>
          <w:rFonts w:asciiTheme="majorBidi" w:hAnsiTheme="majorBidi" w:cstheme="majorBidi"/>
          <w:b/>
          <w:bCs/>
          <w:sz w:val="20"/>
          <w:szCs w:val="20"/>
        </w:rPr>
        <w:t>Figure 13</w:t>
      </w:r>
      <w:r w:rsidR="00150846" w:rsidRPr="007F7899">
        <w:rPr>
          <w:rFonts w:asciiTheme="majorBidi" w:hAnsiTheme="majorBidi" w:cstheme="majorBidi"/>
          <w:b/>
          <w:bCs/>
          <w:sz w:val="20"/>
          <w:szCs w:val="20"/>
        </w:rPr>
        <w:t xml:space="preserve">: </w:t>
      </w:r>
      <w:r w:rsidR="0047510C" w:rsidRPr="00B60D43">
        <w:rPr>
          <w:rFonts w:asciiTheme="majorBidi" w:hAnsiTheme="majorBidi" w:cstheme="majorBidi"/>
          <w:sz w:val="20"/>
          <w:szCs w:val="20"/>
        </w:rPr>
        <w:t xml:space="preserve">Here betaglycan prevents P-smad III of being expressed. HK2 cells were transfected </w:t>
      </w:r>
      <w:proofErr w:type="gramStart"/>
      <w:r w:rsidR="0047510C" w:rsidRPr="00B60D43">
        <w:rPr>
          <w:rFonts w:asciiTheme="majorBidi" w:hAnsiTheme="majorBidi" w:cstheme="majorBidi"/>
          <w:sz w:val="20"/>
          <w:szCs w:val="20"/>
        </w:rPr>
        <w:t>and  30</w:t>
      </w:r>
      <w:proofErr w:type="gramEnd"/>
      <w:r w:rsidR="0047510C" w:rsidRPr="00B60D43">
        <w:rPr>
          <w:rFonts w:asciiTheme="majorBidi" w:hAnsiTheme="majorBidi" w:cstheme="majorBidi"/>
          <w:sz w:val="20"/>
          <w:szCs w:val="20"/>
        </w:rPr>
        <w:t xml:space="preserve"> Western blotting carried out.  GAPDH has been used for comparison. ST = Scramble + TGF-β</w:t>
      </w:r>
      <w:proofErr w:type="gramStart"/>
      <w:r w:rsidR="0047510C" w:rsidRPr="00B60D43">
        <w:rPr>
          <w:rFonts w:asciiTheme="majorBidi" w:hAnsiTheme="majorBidi" w:cstheme="majorBidi"/>
          <w:sz w:val="20"/>
          <w:szCs w:val="20"/>
        </w:rPr>
        <w:t>,  B</w:t>
      </w:r>
      <w:proofErr w:type="gramEnd"/>
      <w:r w:rsidR="0047510C" w:rsidRPr="00B60D43">
        <w:rPr>
          <w:rFonts w:asciiTheme="majorBidi" w:hAnsiTheme="majorBidi" w:cstheme="majorBidi"/>
          <w:sz w:val="20"/>
          <w:szCs w:val="20"/>
        </w:rPr>
        <w:t xml:space="preserve">(-)T = betaglycan knock-down + TGF-β.  The relationship of betaglycan knock-down </w:t>
      </w:r>
      <w:r>
        <w:rPr>
          <w:rFonts w:asciiTheme="majorBidi" w:hAnsiTheme="majorBidi" w:cstheme="majorBidi"/>
          <w:sz w:val="20"/>
          <w:szCs w:val="20"/>
        </w:rPr>
        <w:t xml:space="preserve">on TGF-β signalling in terms o </w:t>
      </w:r>
      <w:r w:rsidR="0047510C" w:rsidRPr="00B60D43">
        <w:rPr>
          <w:rFonts w:asciiTheme="majorBidi" w:hAnsiTheme="majorBidi" w:cstheme="majorBidi"/>
          <w:sz w:val="20"/>
          <w:szCs w:val="20"/>
        </w:rPr>
        <w:t>P-smad-III phosphorylation changes which were used at different time intervals.</w:t>
      </w:r>
    </w:p>
    <w:p w:rsidR="00515C58" w:rsidRPr="00AC1D01" w:rsidRDefault="00A407CD" w:rsidP="00AC1D01">
      <w:pPr>
        <w:pStyle w:val="ListParagraph"/>
        <w:widowControl w:val="0"/>
        <w:numPr>
          <w:ilvl w:val="1"/>
          <w:numId w:val="4"/>
        </w:numPr>
        <w:spacing w:before="100" w:beforeAutospacing="1" w:after="100" w:afterAutospacing="1" w:line="360" w:lineRule="auto"/>
        <w:ind w:left="540" w:hanging="540"/>
        <w:jc w:val="both"/>
        <w:rPr>
          <w:rFonts w:asciiTheme="majorBidi" w:hAnsiTheme="majorBidi" w:cstheme="majorBidi"/>
          <w:b/>
          <w:bCs/>
          <w:i/>
          <w:iCs/>
          <w:sz w:val="20"/>
          <w:szCs w:val="20"/>
        </w:rPr>
      </w:pPr>
      <w:r w:rsidRPr="00AC1D01">
        <w:rPr>
          <w:rFonts w:asciiTheme="majorBidi" w:hAnsiTheme="majorBidi" w:cstheme="majorBidi"/>
          <w:b/>
          <w:bCs/>
          <w:i/>
          <w:iCs/>
          <w:sz w:val="20"/>
          <w:szCs w:val="20"/>
        </w:rPr>
        <w:t>The relationship between betaglycan and TGF-β1 signalling following treatment with P-nitrophenyl-β-D-xylopyranoside (D</w:t>
      </w:r>
      <w:r w:rsidR="00AC1D01" w:rsidRPr="00AC1D01">
        <w:rPr>
          <w:rFonts w:asciiTheme="majorBidi" w:hAnsiTheme="majorBidi" w:cstheme="majorBidi"/>
          <w:b/>
          <w:bCs/>
          <w:i/>
          <w:iCs/>
          <w:sz w:val="20"/>
          <w:szCs w:val="20"/>
        </w:rPr>
        <w:t>ual Luciferase Enzyme Reporter)</w:t>
      </w:r>
    </w:p>
    <w:p w:rsidR="00AC1D01" w:rsidRDefault="00A407CD"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The dual luciferase reporter assay (Promega) has been used to show how inhibition of betaglycan heparan sulphate </w:t>
      </w:r>
      <w:proofErr w:type="gramStart"/>
      <w:r w:rsidRPr="007F7899">
        <w:rPr>
          <w:rFonts w:asciiTheme="majorBidi" w:hAnsiTheme="majorBidi" w:cstheme="majorBidi"/>
          <w:sz w:val="20"/>
          <w:szCs w:val="20"/>
        </w:rPr>
        <w:t>with  P</w:t>
      </w:r>
      <w:proofErr w:type="gramEnd"/>
      <w:r w:rsidRPr="007F7899">
        <w:rPr>
          <w:rFonts w:asciiTheme="majorBidi" w:hAnsiTheme="majorBidi" w:cstheme="majorBidi"/>
          <w:sz w:val="20"/>
          <w:szCs w:val="20"/>
        </w:rPr>
        <w:t>-nitrophenyl-β-D-xylopyranoside regulates and affe</w:t>
      </w:r>
      <w:r w:rsidR="00AA1042" w:rsidRPr="007F7899">
        <w:rPr>
          <w:rFonts w:asciiTheme="majorBidi" w:hAnsiTheme="majorBidi" w:cstheme="majorBidi"/>
          <w:sz w:val="20"/>
          <w:szCs w:val="20"/>
        </w:rPr>
        <w:t>cts TGF-β signalling (Figure 14</w:t>
      </w:r>
      <w:r w:rsidRPr="007F7899">
        <w:rPr>
          <w:rFonts w:asciiTheme="majorBidi" w:hAnsiTheme="majorBidi" w:cstheme="majorBidi"/>
          <w:sz w:val="20"/>
          <w:szCs w:val="20"/>
        </w:rPr>
        <w:t xml:space="preserve">). </w:t>
      </w:r>
    </w:p>
    <w:p w:rsidR="00AC1D01" w:rsidRDefault="00A407CD"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Removal of betaglycan heparan sulphate in epithelial cells increases the ratio of TGF-β1 binding to TβR-II and TβR-I, at</w:t>
      </w:r>
      <w:r w:rsidR="00AC1D01">
        <w:rPr>
          <w:rFonts w:asciiTheme="majorBidi" w:hAnsiTheme="majorBidi" w:cstheme="majorBidi"/>
          <w:sz w:val="20"/>
          <w:szCs w:val="20"/>
        </w:rPr>
        <w:t xml:space="preserve">tenuates degradation of TGF-β1. </w:t>
      </w:r>
    </w:p>
    <w:p w:rsidR="00740BA6" w:rsidRPr="007F7899" w:rsidRDefault="00A407CD"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 </w:t>
      </w:r>
      <w:proofErr w:type="gramStart"/>
      <w:r w:rsidRPr="007F7899">
        <w:rPr>
          <w:rFonts w:asciiTheme="majorBidi" w:hAnsiTheme="majorBidi" w:cstheme="majorBidi"/>
          <w:sz w:val="20"/>
          <w:szCs w:val="20"/>
        </w:rPr>
        <w:t>augments</w:t>
      </w:r>
      <w:proofErr w:type="gramEnd"/>
      <w:r w:rsidRPr="007F7899">
        <w:rPr>
          <w:rFonts w:asciiTheme="majorBidi" w:hAnsiTheme="majorBidi" w:cstheme="majorBidi"/>
          <w:sz w:val="20"/>
          <w:szCs w:val="20"/>
        </w:rPr>
        <w:t xml:space="preserve"> TGF-β1 -induced cellular responses but this action depends on the magnitude</w:t>
      </w:r>
      <w:r w:rsidR="00DF32C3" w:rsidRPr="007F7899">
        <w:rPr>
          <w:rFonts w:asciiTheme="majorBidi" w:hAnsiTheme="majorBidi" w:cstheme="majorBidi"/>
          <w:sz w:val="20"/>
          <w:szCs w:val="20"/>
        </w:rPr>
        <w:t xml:space="preserve"> </w:t>
      </w:r>
      <w:r w:rsidRPr="007F7899">
        <w:rPr>
          <w:rFonts w:asciiTheme="majorBidi" w:hAnsiTheme="majorBidi" w:cstheme="majorBidi"/>
          <w:sz w:val="20"/>
          <w:szCs w:val="20"/>
        </w:rPr>
        <w:t>of TGF-β as it has been known that around one-quarter of TGF-β has been shown to bind to</w:t>
      </w:r>
      <w:r w:rsidR="00740BA6" w:rsidRPr="007F7899">
        <w:rPr>
          <w:rFonts w:asciiTheme="majorBidi" w:hAnsiTheme="majorBidi" w:cstheme="majorBidi"/>
          <w:sz w:val="20"/>
          <w:szCs w:val="20"/>
        </w:rPr>
        <w:t xml:space="preserve"> heparan sulphate </w:t>
      </w:r>
      <w:r w:rsidR="00F33405" w:rsidRPr="007F7899">
        <w:rPr>
          <w:rFonts w:asciiTheme="majorBidi" w:hAnsiTheme="majorBidi" w:cstheme="majorBidi"/>
          <w:sz w:val="20"/>
          <w:szCs w:val="20"/>
        </w:rPr>
        <w:t>[4</w:t>
      </w:r>
      <w:r w:rsidR="00492B5D" w:rsidRPr="007F7899">
        <w:rPr>
          <w:rFonts w:asciiTheme="majorBidi" w:hAnsiTheme="majorBidi" w:cstheme="majorBidi"/>
          <w:sz w:val="20"/>
          <w:szCs w:val="20"/>
        </w:rPr>
        <w:t>3</w:t>
      </w:r>
      <w:r w:rsidR="0082736F" w:rsidRPr="007F7899">
        <w:rPr>
          <w:rFonts w:asciiTheme="majorBidi" w:hAnsiTheme="majorBidi" w:cstheme="majorBidi"/>
          <w:sz w:val="20"/>
          <w:szCs w:val="20"/>
        </w:rPr>
        <w:t>].</w:t>
      </w:r>
    </w:p>
    <w:p w:rsidR="003E20CD" w:rsidRPr="007F7899" w:rsidRDefault="003E20CD" w:rsidP="007F7899">
      <w:pPr>
        <w:widowControl w:val="0"/>
        <w:spacing w:before="100" w:beforeAutospacing="1" w:after="100" w:afterAutospacing="1" w:line="360" w:lineRule="auto"/>
        <w:jc w:val="both"/>
        <w:rPr>
          <w:rFonts w:asciiTheme="majorBidi" w:hAnsiTheme="majorBidi" w:cstheme="majorBidi"/>
          <w:b/>
          <w:bCs/>
          <w:sz w:val="20"/>
          <w:szCs w:val="20"/>
        </w:rPr>
      </w:pPr>
    </w:p>
    <w:p w:rsidR="008F30D4" w:rsidRPr="007F7899" w:rsidRDefault="00AC1D01" w:rsidP="00AC1D01">
      <w:pPr>
        <w:widowControl w:val="0"/>
        <w:spacing w:before="100" w:beforeAutospacing="1" w:after="100" w:afterAutospacing="1" w:line="360" w:lineRule="auto"/>
        <w:jc w:val="center"/>
        <w:rPr>
          <w:rFonts w:asciiTheme="majorBidi" w:hAnsiTheme="majorBidi" w:cstheme="majorBidi"/>
          <w:b/>
          <w:bCs/>
          <w:sz w:val="20"/>
          <w:szCs w:val="20"/>
          <w:lang w:val="en-US"/>
        </w:rPr>
      </w:pPr>
      <w:r>
        <w:rPr>
          <w:noProof/>
          <w:lang w:val="en-US"/>
        </w:rPr>
        <w:lastRenderedPageBreak/>
        <w:drawing>
          <wp:inline distT="0" distB="0" distL="0" distR="0" wp14:anchorId="04B6A8CC" wp14:editId="4DC18BB0">
            <wp:extent cx="5486400" cy="32785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86400" cy="3278505"/>
                    </a:xfrm>
                    <a:prstGeom prst="rect">
                      <a:avLst/>
                    </a:prstGeom>
                  </pic:spPr>
                </pic:pic>
              </a:graphicData>
            </a:graphic>
          </wp:inline>
        </w:drawing>
      </w:r>
    </w:p>
    <w:p w:rsidR="00AC1D01" w:rsidRPr="007F7899" w:rsidRDefault="00AC1D01" w:rsidP="00AC1D01">
      <w:pPr>
        <w:widowControl w:val="0"/>
        <w:spacing w:before="100" w:beforeAutospacing="1" w:after="100" w:afterAutospacing="1" w:line="360" w:lineRule="auto"/>
        <w:jc w:val="center"/>
        <w:rPr>
          <w:rFonts w:asciiTheme="majorBidi" w:hAnsiTheme="majorBidi" w:cstheme="majorBidi"/>
          <w:b/>
          <w:bCs/>
          <w:sz w:val="20"/>
          <w:szCs w:val="20"/>
        </w:rPr>
      </w:pPr>
      <w:r w:rsidRPr="007F7899">
        <w:rPr>
          <w:rFonts w:asciiTheme="majorBidi" w:hAnsiTheme="majorBidi" w:cstheme="majorBidi"/>
          <w:b/>
          <w:bCs/>
          <w:sz w:val="20"/>
          <w:szCs w:val="20"/>
        </w:rPr>
        <w:t xml:space="preserve">Figure </w:t>
      </w:r>
      <w:r>
        <w:rPr>
          <w:rFonts w:asciiTheme="majorBidi" w:hAnsiTheme="majorBidi" w:cstheme="majorBidi"/>
          <w:b/>
          <w:bCs/>
          <w:sz w:val="20"/>
          <w:szCs w:val="20"/>
        </w:rPr>
        <w:t>14</w:t>
      </w:r>
      <w:r w:rsidRPr="007F7899">
        <w:rPr>
          <w:rFonts w:asciiTheme="majorBidi" w:hAnsiTheme="majorBidi" w:cstheme="majorBidi"/>
          <w:b/>
          <w:bCs/>
          <w:sz w:val="20"/>
          <w:szCs w:val="20"/>
        </w:rPr>
        <w:t xml:space="preserve">: </w:t>
      </w:r>
      <w:r w:rsidRPr="00AC1D01">
        <w:rPr>
          <w:rFonts w:asciiTheme="majorBidi" w:hAnsiTheme="majorBidi" w:cstheme="majorBidi"/>
          <w:sz w:val="20"/>
          <w:szCs w:val="20"/>
        </w:rPr>
        <w:t>The relation between BG and TGF-β following P-N-Xpyranoside</w:t>
      </w:r>
      <w:r>
        <w:rPr>
          <w:rFonts w:asciiTheme="majorBidi" w:hAnsiTheme="majorBidi" w:cstheme="majorBidi"/>
          <w:b/>
          <w:bCs/>
          <w:sz w:val="20"/>
          <w:szCs w:val="20"/>
        </w:rPr>
        <w:t xml:space="preserve"> </w:t>
      </w:r>
    </w:p>
    <w:p w:rsidR="00E648B2" w:rsidRPr="00AC1D01" w:rsidRDefault="00E648B2" w:rsidP="007F7899">
      <w:pPr>
        <w:widowControl w:val="0"/>
        <w:spacing w:before="100" w:beforeAutospacing="1" w:after="100" w:afterAutospacing="1" w:line="360" w:lineRule="auto"/>
        <w:jc w:val="both"/>
        <w:rPr>
          <w:rFonts w:asciiTheme="majorBidi" w:hAnsiTheme="majorBidi" w:cstheme="majorBidi"/>
          <w:sz w:val="20"/>
          <w:szCs w:val="20"/>
        </w:rPr>
      </w:pPr>
      <w:r w:rsidRPr="00AC1D01">
        <w:rPr>
          <w:rFonts w:asciiTheme="majorBidi" w:hAnsiTheme="majorBidi" w:cstheme="majorBidi"/>
          <w:sz w:val="20"/>
          <w:szCs w:val="20"/>
        </w:rPr>
        <w:t xml:space="preserve">Preparing the white 96 well plate, 12 wells + 2 blank + 1 extra = 15 wells, dose of P-nitrophenyl-β-D-xylopyranoside is 0.406 milligram per 500 microlitre in each well, and for Tgf-β is 1 microlitre per ml which is equal to 1 ng per ml. Cells transfected with the CAGA-luciferase reporter construct, treated with P-nitrophenyl-β-D-xylopyranoside (single dose), Tgf-β stimulation was at 6 hours.  Four groups used in the experiment (Control, Tgf-β, PXY, Both).  The samples were incubated for 72 hours with the inhibitor. This experiment was repeated three times. ┬ = Standard deviation. * = P-value = ˂ 0.05 = Statistically significant = ˂ </w:t>
      </w:r>
      <w:proofErr w:type="gramStart"/>
      <w:r w:rsidRPr="00AC1D01">
        <w:rPr>
          <w:rFonts w:asciiTheme="majorBidi" w:hAnsiTheme="majorBidi" w:cstheme="majorBidi"/>
          <w:sz w:val="20"/>
          <w:szCs w:val="20"/>
        </w:rPr>
        <w:t>0.05  ,</w:t>
      </w:r>
      <w:proofErr w:type="gramEnd"/>
      <w:r w:rsidRPr="00AC1D01">
        <w:rPr>
          <w:rFonts w:asciiTheme="majorBidi" w:hAnsiTheme="majorBidi" w:cstheme="majorBidi"/>
          <w:sz w:val="20"/>
          <w:szCs w:val="20"/>
        </w:rPr>
        <w:t xml:space="preserve"> ** = P-value = highly significant = ˂ 0.03 , Control = Neither XY nor TGF-β was applied. XY = P-nitrophenyl-β-D-xylopyranoside.</w:t>
      </w:r>
    </w:p>
    <w:p w:rsidR="00DA6A26" w:rsidRPr="007F7899" w:rsidRDefault="00DA6A2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As has been seen from the previous experiment</w:t>
      </w:r>
      <w:r w:rsidR="00761939" w:rsidRPr="007F7899">
        <w:rPr>
          <w:rFonts w:asciiTheme="majorBidi" w:hAnsiTheme="majorBidi" w:cstheme="majorBidi"/>
          <w:sz w:val="20"/>
          <w:szCs w:val="20"/>
        </w:rPr>
        <w:t xml:space="preserve"> (figure 14)</w:t>
      </w:r>
      <w:r w:rsidRPr="007F7899">
        <w:rPr>
          <w:rFonts w:asciiTheme="majorBidi" w:hAnsiTheme="majorBidi" w:cstheme="majorBidi"/>
          <w:sz w:val="20"/>
          <w:szCs w:val="20"/>
        </w:rPr>
        <w:t xml:space="preserve">, the inhibition of the active part </w:t>
      </w:r>
      <w:proofErr w:type="gramStart"/>
      <w:r w:rsidRPr="007F7899">
        <w:rPr>
          <w:rFonts w:asciiTheme="majorBidi" w:hAnsiTheme="majorBidi" w:cstheme="majorBidi"/>
          <w:sz w:val="20"/>
          <w:szCs w:val="20"/>
        </w:rPr>
        <w:t>of  betaglycan</w:t>
      </w:r>
      <w:proofErr w:type="gramEnd"/>
      <w:r w:rsidRPr="007F7899">
        <w:rPr>
          <w:rFonts w:asciiTheme="majorBidi" w:hAnsiTheme="majorBidi" w:cstheme="majorBidi"/>
          <w:sz w:val="20"/>
          <w:szCs w:val="20"/>
        </w:rPr>
        <w:t xml:space="preserve"> (Heparan sulphate) has brought down TGF-β luminescence level. These results suggest that heparan sulfate modulates TGF-β1 responsiveness by decreasing the ratio of TGF-β1, thus diminishing signalling of</w:t>
      </w:r>
      <w:r w:rsidR="00761939" w:rsidRPr="007F7899">
        <w:rPr>
          <w:rFonts w:asciiTheme="majorBidi" w:hAnsiTheme="majorBidi" w:cstheme="majorBidi"/>
          <w:sz w:val="20"/>
          <w:szCs w:val="20"/>
        </w:rPr>
        <w:t xml:space="preserve"> T</w:t>
      </w:r>
      <w:r w:rsidR="00F33405" w:rsidRPr="007F7899">
        <w:rPr>
          <w:rFonts w:asciiTheme="majorBidi" w:hAnsiTheme="majorBidi" w:cstheme="majorBidi"/>
          <w:sz w:val="20"/>
          <w:szCs w:val="20"/>
        </w:rPr>
        <w:t xml:space="preserve">GF-β1 in the epithelial </w:t>
      </w:r>
      <w:proofErr w:type="gramStart"/>
      <w:r w:rsidR="00F33405" w:rsidRPr="007F7899">
        <w:rPr>
          <w:rFonts w:asciiTheme="majorBidi" w:hAnsiTheme="majorBidi" w:cstheme="majorBidi"/>
          <w:sz w:val="20"/>
          <w:szCs w:val="20"/>
        </w:rPr>
        <w:t>cells[</w:t>
      </w:r>
      <w:proofErr w:type="gramEnd"/>
      <w:r w:rsidR="00F33405" w:rsidRPr="007F7899">
        <w:rPr>
          <w:rFonts w:asciiTheme="majorBidi" w:hAnsiTheme="majorBidi" w:cstheme="majorBidi"/>
          <w:sz w:val="20"/>
          <w:szCs w:val="20"/>
        </w:rPr>
        <w:t>4</w:t>
      </w:r>
      <w:r w:rsidR="00492B5D" w:rsidRPr="007F7899">
        <w:rPr>
          <w:rFonts w:asciiTheme="majorBidi" w:hAnsiTheme="majorBidi" w:cstheme="majorBidi"/>
          <w:sz w:val="20"/>
          <w:szCs w:val="20"/>
        </w:rPr>
        <w:t>4</w:t>
      </w:r>
      <w:r w:rsidR="00761939" w:rsidRPr="007F7899">
        <w:rPr>
          <w:rFonts w:asciiTheme="majorBidi" w:hAnsiTheme="majorBidi" w:cstheme="majorBidi"/>
          <w:sz w:val="20"/>
          <w:szCs w:val="20"/>
        </w:rPr>
        <w:t>].</w:t>
      </w:r>
    </w:p>
    <w:p w:rsidR="00DA6A26" w:rsidRPr="007F7899" w:rsidRDefault="00DA6A2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Generally betaglycan has an important impact on TGF-β signalling as it affects the core protein expression and subsequently the cell functions, when betaglycan blocked, its bands down-regulated and phosphorylation </w:t>
      </w:r>
      <w:proofErr w:type="gramStart"/>
      <w:r w:rsidRPr="007F7899">
        <w:rPr>
          <w:rFonts w:asciiTheme="majorBidi" w:hAnsiTheme="majorBidi" w:cstheme="majorBidi"/>
          <w:sz w:val="20"/>
          <w:szCs w:val="20"/>
        </w:rPr>
        <w:t>of  P</w:t>
      </w:r>
      <w:proofErr w:type="gramEnd"/>
      <w:r w:rsidRPr="007F7899">
        <w:rPr>
          <w:rFonts w:asciiTheme="majorBidi" w:hAnsiTheme="majorBidi" w:cstheme="majorBidi"/>
          <w:sz w:val="20"/>
          <w:szCs w:val="20"/>
        </w:rPr>
        <w:t>-smad III has changed, which shows how significant betaglycan (TGF-β-R III) could manage TGF-β signalling in the kidney.</w:t>
      </w:r>
    </w:p>
    <w:p w:rsidR="004F3BB4" w:rsidRPr="00AC1D01" w:rsidRDefault="004F3BB4" w:rsidP="00AC1D01">
      <w:pPr>
        <w:pStyle w:val="ListParagraph"/>
        <w:widowControl w:val="0"/>
        <w:numPr>
          <w:ilvl w:val="1"/>
          <w:numId w:val="4"/>
        </w:numPr>
        <w:spacing w:before="100" w:beforeAutospacing="1" w:after="100" w:afterAutospacing="1" w:line="360" w:lineRule="auto"/>
        <w:ind w:left="540" w:hanging="540"/>
        <w:jc w:val="both"/>
        <w:rPr>
          <w:rFonts w:asciiTheme="majorBidi" w:hAnsiTheme="majorBidi" w:cstheme="majorBidi"/>
          <w:b/>
          <w:bCs/>
          <w:i/>
          <w:iCs/>
          <w:sz w:val="20"/>
          <w:szCs w:val="20"/>
        </w:rPr>
      </w:pPr>
      <w:r w:rsidRPr="00AC1D01">
        <w:rPr>
          <w:rFonts w:asciiTheme="majorBidi" w:hAnsiTheme="majorBidi" w:cstheme="majorBidi"/>
          <w:b/>
          <w:bCs/>
          <w:i/>
          <w:iCs/>
          <w:sz w:val="20"/>
          <w:szCs w:val="20"/>
        </w:rPr>
        <w:t>The effect of P-nitrophenyl-β-D-xylopyranoside treatment on betaglycan protein</w:t>
      </w:r>
    </w:p>
    <w:p w:rsidR="00161277" w:rsidRPr="007F7899" w:rsidRDefault="004F3BB4"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Betaglycan and TGF-β1 signalling association were examined by Dual Luciferase Enzyme Reporter assay with P-nitrophenyl-β-D-xylopyranoside treatment.   Betaglycan protein was down regulated as seen by the Western </w:t>
      </w:r>
      <w:r w:rsidRPr="007F7899">
        <w:rPr>
          <w:rFonts w:asciiTheme="majorBidi" w:hAnsiTheme="majorBidi" w:cstheme="majorBidi"/>
          <w:sz w:val="20"/>
          <w:szCs w:val="20"/>
        </w:rPr>
        <w:lastRenderedPageBreak/>
        <w:t>blotting experiment which was regulated by treatment with P-nitropheny</w:t>
      </w:r>
      <w:r w:rsidR="0007235C" w:rsidRPr="007F7899">
        <w:rPr>
          <w:rFonts w:asciiTheme="majorBidi" w:hAnsiTheme="majorBidi" w:cstheme="majorBidi"/>
          <w:sz w:val="20"/>
          <w:szCs w:val="20"/>
        </w:rPr>
        <w:t>l-β-D-xylopyranoside (Figure 15</w:t>
      </w:r>
      <w:r w:rsidRPr="007F7899">
        <w:rPr>
          <w:rFonts w:asciiTheme="majorBidi" w:hAnsiTheme="majorBidi" w:cstheme="majorBidi"/>
          <w:sz w:val="20"/>
          <w:szCs w:val="20"/>
        </w:rPr>
        <w:t>).</w:t>
      </w:r>
    </w:p>
    <w:p w:rsidR="00F67F3D" w:rsidRPr="007F7899" w:rsidRDefault="00AC1D01" w:rsidP="00AC1D01">
      <w:pPr>
        <w:widowControl w:val="0"/>
        <w:spacing w:before="100" w:beforeAutospacing="1" w:after="100" w:afterAutospacing="1" w:line="360" w:lineRule="auto"/>
        <w:jc w:val="center"/>
        <w:rPr>
          <w:rFonts w:asciiTheme="majorBidi" w:hAnsiTheme="majorBidi" w:cstheme="majorBidi"/>
          <w:b/>
          <w:bCs/>
          <w:sz w:val="20"/>
          <w:szCs w:val="20"/>
        </w:rPr>
      </w:pPr>
      <w:r>
        <w:rPr>
          <w:noProof/>
          <w:lang w:val="en-US"/>
        </w:rPr>
        <w:drawing>
          <wp:inline distT="0" distB="0" distL="0" distR="0" wp14:anchorId="4001C6E9" wp14:editId="5BE7DEF1">
            <wp:extent cx="5486400" cy="213423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86400" cy="2134235"/>
                    </a:xfrm>
                    <a:prstGeom prst="rect">
                      <a:avLst/>
                    </a:prstGeom>
                  </pic:spPr>
                </pic:pic>
              </a:graphicData>
            </a:graphic>
          </wp:inline>
        </w:drawing>
      </w:r>
    </w:p>
    <w:p w:rsidR="00AC1D01" w:rsidRPr="007F7899" w:rsidRDefault="00AC1D01" w:rsidP="00AC1D01">
      <w:pPr>
        <w:widowControl w:val="0"/>
        <w:spacing w:before="100" w:beforeAutospacing="1" w:after="100" w:afterAutospacing="1" w:line="360" w:lineRule="auto"/>
        <w:jc w:val="center"/>
        <w:rPr>
          <w:rFonts w:asciiTheme="majorBidi" w:hAnsiTheme="majorBidi" w:cstheme="majorBidi"/>
          <w:b/>
          <w:bCs/>
          <w:sz w:val="20"/>
          <w:szCs w:val="20"/>
        </w:rPr>
      </w:pPr>
      <w:r>
        <w:rPr>
          <w:rFonts w:asciiTheme="majorBidi" w:hAnsiTheme="majorBidi" w:cstheme="majorBidi"/>
          <w:b/>
          <w:bCs/>
          <w:sz w:val="20"/>
          <w:szCs w:val="20"/>
        </w:rPr>
        <w:t>Figure 15:</w:t>
      </w:r>
      <w:r w:rsidRPr="007F7899">
        <w:rPr>
          <w:rFonts w:asciiTheme="majorBidi" w:hAnsiTheme="majorBidi" w:cstheme="majorBidi"/>
          <w:b/>
          <w:bCs/>
          <w:sz w:val="20"/>
          <w:szCs w:val="20"/>
        </w:rPr>
        <w:t xml:space="preserve"> </w:t>
      </w:r>
      <w:r w:rsidRPr="00AC1D01">
        <w:rPr>
          <w:rFonts w:asciiTheme="majorBidi" w:hAnsiTheme="majorBidi" w:cstheme="majorBidi"/>
          <w:sz w:val="20"/>
          <w:szCs w:val="20"/>
        </w:rPr>
        <w:t>The effect of P-nitrophenyl-β-D-xylopyranoside treatment on betaglycan core-protein expression</w:t>
      </w:r>
      <w:r>
        <w:rPr>
          <w:rFonts w:asciiTheme="majorBidi" w:hAnsiTheme="majorBidi" w:cstheme="majorBidi"/>
          <w:b/>
          <w:bCs/>
          <w:sz w:val="20"/>
          <w:szCs w:val="20"/>
        </w:rPr>
        <w:t xml:space="preserve"> </w:t>
      </w:r>
    </w:p>
    <w:p w:rsidR="00F67F3D" w:rsidRPr="00AC1D01" w:rsidRDefault="002B0D7A" w:rsidP="007F7899">
      <w:pPr>
        <w:widowControl w:val="0"/>
        <w:spacing w:before="100" w:beforeAutospacing="1" w:after="100" w:afterAutospacing="1" w:line="360" w:lineRule="auto"/>
        <w:jc w:val="both"/>
        <w:rPr>
          <w:rFonts w:asciiTheme="majorBidi" w:hAnsiTheme="majorBidi" w:cstheme="majorBidi"/>
          <w:sz w:val="20"/>
          <w:szCs w:val="20"/>
        </w:rPr>
      </w:pPr>
      <w:r w:rsidRPr="00AC1D01">
        <w:rPr>
          <w:rFonts w:asciiTheme="majorBidi" w:hAnsiTheme="majorBidi" w:cstheme="majorBidi"/>
          <w:sz w:val="20"/>
          <w:szCs w:val="20"/>
        </w:rPr>
        <w:t xml:space="preserve">Incubation period of P-nitrophenyl-β-D-xylopyranoside was 72 hours. </w:t>
      </w:r>
      <w:proofErr w:type="gramStart"/>
      <w:r w:rsidRPr="00AC1D01">
        <w:rPr>
          <w:rFonts w:asciiTheme="majorBidi" w:hAnsiTheme="majorBidi" w:cstheme="majorBidi"/>
          <w:sz w:val="20"/>
          <w:szCs w:val="20"/>
        </w:rPr>
        <w:t>The effect of P-nitrophenyl-β-D-xylopyranoside treatment (The betaglycan functional part inhibitor, heparan sulphate), as it affects betaglycan protein expression, results assayed with GAPDH.</w:t>
      </w:r>
      <w:proofErr w:type="gramEnd"/>
      <w:r w:rsidRPr="00AC1D01">
        <w:rPr>
          <w:rFonts w:asciiTheme="majorBidi" w:hAnsiTheme="majorBidi" w:cstheme="majorBidi"/>
          <w:sz w:val="20"/>
          <w:szCs w:val="20"/>
        </w:rPr>
        <w:t xml:space="preserve">  High molecular weight ladder was used to visualize the high molecular weight betaglycan size.  This experiment was repeated 3 times and gave the same result. T = TGF-β, XT = P-nitrophenyl-β-D-xylopyranoside + TGF-β.  </w:t>
      </w:r>
    </w:p>
    <w:p w:rsidR="00314DF0" w:rsidRPr="00AC1D01" w:rsidRDefault="00314DF0" w:rsidP="00AC1D01">
      <w:pPr>
        <w:pStyle w:val="ListParagraph"/>
        <w:widowControl w:val="0"/>
        <w:numPr>
          <w:ilvl w:val="1"/>
          <w:numId w:val="4"/>
        </w:numPr>
        <w:spacing w:before="100" w:beforeAutospacing="1" w:after="100" w:afterAutospacing="1" w:line="360" w:lineRule="auto"/>
        <w:ind w:left="540" w:hanging="540"/>
        <w:jc w:val="both"/>
        <w:rPr>
          <w:rFonts w:asciiTheme="majorBidi" w:hAnsiTheme="majorBidi" w:cstheme="majorBidi"/>
          <w:b/>
          <w:bCs/>
          <w:i/>
          <w:iCs/>
          <w:sz w:val="20"/>
          <w:szCs w:val="20"/>
        </w:rPr>
      </w:pPr>
      <w:r w:rsidRPr="00AC1D01">
        <w:rPr>
          <w:rFonts w:asciiTheme="majorBidi" w:hAnsiTheme="majorBidi" w:cstheme="majorBidi"/>
          <w:b/>
          <w:bCs/>
          <w:i/>
          <w:iCs/>
          <w:sz w:val="20"/>
          <w:szCs w:val="20"/>
        </w:rPr>
        <w:t xml:space="preserve"> Effect of P-nitrophenyl-β-D-xylopyr</w:t>
      </w:r>
      <w:r w:rsidR="00AC1D01" w:rsidRPr="00AC1D01">
        <w:rPr>
          <w:rFonts w:asciiTheme="majorBidi" w:hAnsiTheme="majorBidi" w:cstheme="majorBidi"/>
          <w:b/>
          <w:bCs/>
          <w:i/>
          <w:iCs/>
          <w:sz w:val="20"/>
          <w:szCs w:val="20"/>
        </w:rPr>
        <w:t>anoside treatment on P-Smad-III</w:t>
      </w:r>
    </w:p>
    <w:p w:rsidR="002B0D7A" w:rsidRPr="007F7899" w:rsidRDefault="00314DF0"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The purpose of this experiment was to show how P-nitrophenyl-β-D-xylopyranoside was affected TGF-β core-protein (the P-Smad-III) which was visualised by Western blotting.  After transfection of HK2 cells with P-nitrophenyl-β-D-xylopyranoside treatment, stimulation with TGF-β was done at 15, 30, 60 and 120 minutes then scraping of the protein and proceeding to SDS-PAGE and Western blotting as described in the methods (section 2.11), which revealed a significant change of P-smad-III phosphorylation, results assayed by GAPDH,  and here supports that P-nitrophenyl-β-D-xylopyranoside through inhibition of heparan sulphate, betaglycan core protein and subsequently TGF-β found to be down regulated </w:t>
      </w:r>
      <w:r w:rsidR="00761939" w:rsidRPr="007F7899">
        <w:rPr>
          <w:rFonts w:asciiTheme="majorBidi" w:hAnsiTheme="majorBidi" w:cstheme="majorBidi"/>
          <w:sz w:val="20"/>
          <w:szCs w:val="20"/>
        </w:rPr>
        <w:t>[</w:t>
      </w:r>
      <w:r w:rsidR="00C7545E" w:rsidRPr="007F7899">
        <w:rPr>
          <w:rFonts w:asciiTheme="majorBidi" w:hAnsiTheme="majorBidi" w:cstheme="majorBidi"/>
          <w:sz w:val="20"/>
          <w:szCs w:val="20"/>
        </w:rPr>
        <w:t>4</w:t>
      </w:r>
      <w:r w:rsidR="00492B5D" w:rsidRPr="007F7899">
        <w:rPr>
          <w:rFonts w:asciiTheme="majorBidi" w:hAnsiTheme="majorBidi" w:cstheme="majorBidi"/>
          <w:sz w:val="20"/>
          <w:szCs w:val="20"/>
        </w:rPr>
        <w:t>5</w:t>
      </w:r>
      <w:r w:rsidR="00761939" w:rsidRPr="007F7899">
        <w:rPr>
          <w:rFonts w:asciiTheme="majorBidi" w:hAnsiTheme="majorBidi" w:cstheme="majorBidi"/>
          <w:sz w:val="20"/>
          <w:szCs w:val="20"/>
        </w:rPr>
        <w:t xml:space="preserve">], </w:t>
      </w:r>
      <w:r w:rsidR="00C4315A" w:rsidRPr="007F7899">
        <w:rPr>
          <w:rFonts w:asciiTheme="majorBidi" w:hAnsiTheme="majorBidi" w:cstheme="majorBidi"/>
          <w:sz w:val="20"/>
          <w:szCs w:val="20"/>
        </w:rPr>
        <w:t>as shown in (Figure 16</w:t>
      </w:r>
      <w:r w:rsidRPr="007F7899">
        <w:rPr>
          <w:rFonts w:asciiTheme="majorBidi" w:hAnsiTheme="majorBidi" w:cstheme="majorBidi"/>
          <w:sz w:val="20"/>
          <w:szCs w:val="20"/>
        </w:rPr>
        <w:t>).</w:t>
      </w:r>
    </w:p>
    <w:p w:rsidR="00730836" w:rsidRPr="007F7899" w:rsidRDefault="00AC1D01" w:rsidP="00AC1D01">
      <w:pPr>
        <w:widowControl w:val="0"/>
        <w:spacing w:before="100" w:beforeAutospacing="1" w:after="100" w:afterAutospacing="1" w:line="360" w:lineRule="auto"/>
        <w:jc w:val="center"/>
        <w:rPr>
          <w:rFonts w:asciiTheme="majorBidi" w:hAnsiTheme="majorBidi" w:cstheme="majorBidi"/>
          <w:sz w:val="20"/>
          <w:szCs w:val="20"/>
        </w:rPr>
      </w:pPr>
      <w:r>
        <w:rPr>
          <w:noProof/>
          <w:lang w:val="en-US"/>
        </w:rPr>
        <w:drawing>
          <wp:inline distT="0" distB="0" distL="0" distR="0" wp14:anchorId="6F1E3A70" wp14:editId="3336117E">
            <wp:extent cx="4267200" cy="1693051"/>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267200" cy="1693051"/>
                    </a:xfrm>
                    <a:prstGeom prst="rect">
                      <a:avLst/>
                    </a:prstGeom>
                  </pic:spPr>
                </pic:pic>
              </a:graphicData>
            </a:graphic>
          </wp:inline>
        </w:drawing>
      </w:r>
    </w:p>
    <w:p w:rsidR="00AC1D01" w:rsidRPr="007F7899" w:rsidRDefault="00AC1D01" w:rsidP="00AC1D01">
      <w:pPr>
        <w:widowControl w:val="0"/>
        <w:spacing w:before="100" w:beforeAutospacing="1" w:after="100" w:afterAutospacing="1" w:line="360" w:lineRule="auto"/>
        <w:jc w:val="center"/>
        <w:rPr>
          <w:rFonts w:asciiTheme="majorBidi" w:hAnsiTheme="majorBidi" w:cstheme="majorBidi"/>
          <w:b/>
          <w:bCs/>
          <w:sz w:val="20"/>
          <w:szCs w:val="20"/>
        </w:rPr>
      </w:pPr>
      <w:r>
        <w:rPr>
          <w:rFonts w:asciiTheme="majorBidi" w:hAnsiTheme="majorBidi" w:cstheme="majorBidi"/>
          <w:b/>
          <w:bCs/>
          <w:sz w:val="20"/>
          <w:szCs w:val="20"/>
        </w:rPr>
        <w:t>Figure 16</w:t>
      </w:r>
      <w:r w:rsidRPr="007F7899">
        <w:rPr>
          <w:rFonts w:asciiTheme="majorBidi" w:hAnsiTheme="majorBidi" w:cstheme="majorBidi"/>
          <w:b/>
          <w:bCs/>
          <w:sz w:val="20"/>
          <w:szCs w:val="20"/>
        </w:rPr>
        <w:t xml:space="preserve">:  </w:t>
      </w:r>
      <w:r w:rsidRPr="00AC1D01">
        <w:rPr>
          <w:rFonts w:asciiTheme="majorBidi" w:hAnsiTheme="majorBidi" w:cstheme="majorBidi"/>
          <w:sz w:val="20"/>
          <w:szCs w:val="20"/>
        </w:rPr>
        <w:t>Effect of P-nitrophenyl-β-D-xylopyranoside treatment on P-smad-III</w:t>
      </w:r>
    </w:p>
    <w:p w:rsidR="0072042D" w:rsidRPr="00AC1D01" w:rsidRDefault="00AC1D01" w:rsidP="00AC1D01">
      <w:pPr>
        <w:pStyle w:val="ListParagraph"/>
        <w:widowControl w:val="0"/>
        <w:numPr>
          <w:ilvl w:val="1"/>
          <w:numId w:val="4"/>
        </w:numPr>
        <w:spacing w:before="100" w:beforeAutospacing="1" w:after="100" w:afterAutospacing="1" w:line="360" w:lineRule="auto"/>
        <w:ind w:left="540" w:hanging="540"/>
        <w:jc w:val="both"/>
        <w:rPr>
          <w:rFonts w:asciiTheme="majorBidi" w:hAnsiTheme="majorBidi" w:cstheme="majorBidi"/>
          <w:b/>
          <w:bCs/>
          <w:i/>
          <w:iCs/>
          <w:sz w:val="20"/>
          <w:szCs w:val="20"/>
        </w:rPr>
      </w:pPr>
      <w:r w:rsidRPr="00AC1D01">
        <w:rPr>
          <w:rFonts w:asciiTheme="majorBidi" w:hAnsiTheme="majorBidi" w:cstheme="majorBidi"/>
          <w:b/>
          <w:bCs/>
          <w:i/>
          <w:iCs/>
          <w:sz w:val="20"/>
          <w:szCs w:val="20"/>
        </w:rPr>
        <w:lastRenderedPageBreak/>
        <w:t xml:space="preserve">The Function of Betaglycan </w:t>
      </w:r>
    </w:p>
    <w:p w:rsidR="004E1D5F" w:rsidRPr="007F7899" w:rsidRDefault="0072042D"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The potential impact of betaglycan as a marker of epithelium (E-cadherin) or mesenchymal cells (α-sma) is studied in this chapter. Cadherins are calcium-dependent adhesion molecules and members of a class of type-1</w:t>
      </w:r>
    </w:p>
    <w:p w:rsidR="0072042D" w:rsidRPr="007F7899" w:rsidRDefault="0072042D" w:rsidP="007F7899">
      <w:pPr>
        <w:widowControl w:val="0"/>
        <w:spacing w:before="100" w:beforeAutospacing="1" w:after="100" w:afterAutospacing="1" w:line="360" w:lineRule="auto"/>
        <w:jc w:val="both"/>
        <w:rPr>
          <w:rFonts w:asciiTheme="majorBidi" w:hAnsiTheme="majorBidi" w:cstheme="majorBidi"/>
          <w:sz w:val="20"/>
          <w:szCs w:val="20"/>
        </w:rPr>
      </w:pPr>
      <w:proofErr w:type="gramStart"/>
      <w:r w:rsidRPr="007F7899">
        <w:rPr>
          <w:rFonts w:asciiTheme="majorBidi" w:hAnsiTheme="majorBidi" w:cstheme="majorBidi"/>
          <w:sz w:val="20"/>
          <w:szCs w:val="20"/>
        </w:rPr>
        <w:t>transmembrane</w:t>
      </w:r>
      <w:proofErr w:type="gramEnd"/>
      <w:r w:rsidRPr="007F7899">
        <w:rPr>
          <w:rFonts w:asciiTheme="majorBidi" w:hAnsiTheme="majorBidi" w:cstheme="majorBidi"/>
          <w:sz w:val="20"/>
          <w:szCs w:val="20"/>
        </w:rPr>
        <w:t xml:space="preserve"> proteins. They have important roles in cell adhesion and contribute to mechanisms controlling how cells within tissues are bound together. </w:t>
      </w:r>
    </w:p>
    <w:p w:rsidR="00B96310" w:rsidRDefault="0072042D" w:rsidP="00AC1D01">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The cadherin superfamily includes cadherins, protocadherins, desmogleins, and desmocollins. In structure, they share </w:t>
      </w:r>
      <w:proofErr w:type="gramStart"/>
      <w:r w:rsidRPr="007F7899">
        <w:rPr>
          <w:rFonts w:asciiTheme="majorBidi" w:hAnsiTheme="majorBidi" w:cstheme="majorBidi"/>
          <w:sz w:val="20"/>
          <w:szCs w:val="20"/>
        </w:rPr>
        <w:t xml:space="preserve">cadherin repeats, which are the extracellular Ca2+-binding domains </w:t>
      </w:r>
      <w:r w:rsidR="003A5B4E" w:rsidRPr="007F7899">
        <w:rPr>
          <w:rFonts w:asciiTheme="majorBidi" w:hAnsiTheme="majorBidi" w:cstheme="majorBidi"/>
          <w:sz w:val="20"/>
          <w:szCs w:val="20"/>
        </w:rPr>
        <w:t>[4</w:t>
      </w:r>
      <w:r w:rsidR="00AB2290" w:rsidRPr="007F7899">
        <w:rPr>
          <w:rFonts w:asciiTheme="majorBidi" w:hAnsiTheme="majorBidi" w:cstheme="majorBidi"/>
          <w:sz w:val="20"/>
          <w:szCs w:val="20"/>
        </w:rPr>
        <w:t>6</w:t>
      </w:r>
      <w:r w:rsidR="003A5B4E" w:rsidRPr="007F7899">
        <w:rPr>
          <w:rFonts w:asciiTheme="majorBidi" w:hAnsiTheme="majorBidi" w:cstheme="majorBidi"/>
          <w:sz w:val="20"/>
          <w:szCs w:val="20"/>
        </w:rPr>
        <w:t>],</w:t>
      </w:r>
      <w:r w:rsidR="00F33405" w:rsidRPr="007F7899">
        <w:rPr>
          <w:rFonts w:asciiTheme="majorBidi" w:hAnsiTheme="majorBidi" w:cstheme="majorBidi"/>
          <w:sz w:val="20"/>
          <w:szCs w:val="20"/>
        </w:rPr>
        <w:t xml:space="preserve"> </w:t>
      </w:r>
      <w:r w:rsidRPr="007F7899">
        <w:rPr>
          <w:rFonts w:asciiTheme="majorBidi" w:hAnsiTheme="majorBidi" w:cstheme="majorBidi"/>
          <w:sz w:val="20"/>
          <w:szCs w:val="20"/>
        </w:rPr>
        <w:t>Loss of both E-cadherin expression and function, has</w:t>
      </w:r>
      <w:proofErr w:type="gramEnd"/>
      <w:r w:rsidRPr="007F7899">
        <w:rPr>
          <w:rFonts w:asciiTheme="majorBidi" w:hAnsiTheme="majorBidi" w:cstheme="majorBidi"/>
          <w:sz w:val="20"/>
          <w:szCs w:val="20"/>
        </w:rPr>
        <w:t xml:space="preserve"> been implicated in cancer progression and metastasis. E-cadherin down-regulation decreases the strength of cellular adhesion within a tissue, resulting in an increase in cellular motility.  This in turn may allow cancer cells to cross the basement membrane </w:t>
      </w:r>
      <w:r w:rsidR="00AC1D01">
        <w:rPr>
          <w:rFonts w:asciiTheme="majorBidi" w:hAnsiTheme="majorBidi" w:cstheme="majorBidi"/>
          <w:sz w:val="20"/>
          <w:szCs w:val="20"/>
        </w:rPr>
        <w:t>and invade surrounding tissues.</w:t>
      </w:r>
      <w:r w:rsidRPr="007F7899">
        <w:rPr>
          <w:rFonts w:asciiTheme="majorBidi" w:hAnsiTheme="majorBidi" w:cstheme="majorBidi"/>
          <w:sz w:val="20"/>
          <w:szCs w:val="20"/>
        </w:rPr>
        <w:t>Actin is the monomeric subunit of two types of filaments in cells: microfilaments, one of the three major components of the cytoskeleton, and thin filaments, part of the contractile apparatus in muscle cells. Thus, actin participates in many important cellular processes including muscle contraction, cell motility, cell division and cytokinesis, vesicle and organelle movement, cell signalling, and the establishment and maintenance of cell junctions and cell line.  Alpha smooth muscle actin is a protein that in humans is encoded by the A</w:t>
      </w:r>
      <w:r w:rsidR="00AE028B" w:rsidRPr="007F7899">
        <w:rPr>
          <w:rFonts w:asciiTheme="majorBidi" w:hAnsiTheme="majorBidi" w:cstheme="majorBidi"/>
          <w:sz w:val="20"/>
          <w:szCs w:val="20"/>
        </w:rPr>
        <w:t xml:space="preserve">CTA2 gene located on 10q22-q24 </w:t>
      </w:r>
      <w:r w:rsidR="00C7545E" w:rsidRPr="007F7899">
        <w:rPr>
          <w:rFonts w:asciiTheme="majorBidi" w:hAnsiTheme="majorBidi" w:cstheme="majorBidi"/>
          <w:sz w:val="20"/>
          <w:szCs w:val="20"/>
        </w:rPr>
        <w:t>[4</w:t>
      </w:r>
      <w:r w:rsidR="00AB2290" w:rsidRPr="007F7899">
        <w:rPr>
          <w:rFonts w:asciiTheme="majorBidi" w:hAnsiTheme="majorBidi" w:cstheme="majorBidi"/>
          <w:sz w:val="20"/>
          <w:szCs w:val="20"/>
        </w:rPr>
        <w:t>7</w:t>
      </w:r>
      <w:r w:rsidR="00AE028B"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The alpha smooth actin is found in muscle tissues and is a major constituent of the contractile </w:t>
      </w:r>
      <w:proofErr w:type="gramStart"/>
      <w:r w:rsidRPr="007F7899">
        <w:rPr>
          <w:rFonts w:asciiTheme="majorBidi" w:hAnsiTheme="majorBidi" w:cstheme="majorBidi"/>
          <w:sz w:val="20"/>
          <w:szCs w:val="20"/>
        </w:rPr>
        <w:t>apparatus</w:t>
      </w:r>
      <w:r w:rsidR="00AE028B" w:rsidRPr="007F7899">
        <w:rPr>
          <w:rFonts w:asciiTheme="majorBidi" w:hAnsiTheme="majorBidi" w:cstheme="majorBidi"/>
          <w:sz w:val="20"/>
          <w:szCs w:val="20"/>
        </w:rPr>
        <w:t>[</w:t>
      </w:r>
      <w:proofErr w:type="gramEnd"/>
      <w:r w:rsidR="00AB2290" w:rsidRPr="007F7899">
        <w:rPr>
          <w:rFonts w:asciiTheme="majorBidi" w:hAnsiTheme="majorBidi" w:cstheme="majorBidi"/>
          <w:sz w:val="20"/>
          <w:szCs w:val="20"/>
        </w:rPr>
        <w:t>48</w:t>
      </w:r>
      <w:r w:rsidR="00AE028B"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It can be used for evaluation of the disease activity and prognosis as its expression </w:t>
      </w:r>
      <w:proofErr w:type="gramStart"/>
      <w:r w:rsidRPr="007F7899">
        <w:rPr>
          <w:rFonts w:asciiTheme="majorBidi" w:hAnsiTheme="majorBidi" w:cstheme="majorBidi"/>
          <w:sz w:val="20"/>
          <w:szCs w:val="20"/>
        </w:rPr>
        <w:t>increased  by</w:t>
      </w:r>
      <w:proofErr w:type="gramEnd"/>
      <w:r w:rsidRPr="007F7899">
        <w:rPr>
          <w:rFonts w:asciiTheme="majorBidi" w:hAnsiTheme="majorBidi" w:cstheme="majorBidi"/>
          <w:sz w:val="20"/>
          <w:szCs w:val="20"/>
        </w:rPr>
        <w:t xml:space="preserve"> mesangial cells from GN patients in the kidneys </w:t>
      </w:r>
      <w:r w:rsidR="00C7545E" w:rsidRPr="007F7899">
        <w:rPr>
          <w:rFonts w:asciiTheme="majorBidi" w:hAnsiTheme="majorBidi" w:cstheme="majorBidi"/>
          <w:sz w:val="20"/>
          <w:szCs w:val="20"/>
        </w:rPr>
        <w:t>[4</w:t>
      </w:r>
      <w:r w:rsidR="00AB2290" w:rsidRPr="007F7899">
        <w:rPr>
          <w:rFonts w:asciiTheme="majorBidi" w:hAnsiTheme="majorBidi" w:cstheme="majorBidi"/>
          <w:sz w:val="20"/>
          <w:szCs w:val="20"/>
        </w:rPr>
        <w:t>9</w:t>
      </w:r>
      <w:r w:rsidR="00DB3B4E" w:rsidRPr="007F7899">
        <w:rPr>
          <w:rFonts w:asciiTheme="majorBidi" w:hAnsiTheme="majorBidi" w:cstheme="majorBidi"/>
          <w:sz w:val="20"/>
          <w:szCs w:val="20"/>
        </w:rPr>
        <w:t xml:space="preserve">]. </w:t>
      </w:r>
      <w:r w:rsidRPr="007F7899">
        <w:rPr>
          <w:rFonts w:asciiTheme="majorBidi" w:hAnsiTheme="majorBidi" w:cstheme="majorBidi"/>
          <w:sz w:val="20"/>
          <w:szCs w:val="20"/>
        </w:rPr>
        <w:t>The expression of α-smooth muscle action (α-SMA) in the renal tubulointerstitium in patients with kidney collateral stasis was increased with the increasing of the degree of renal interstitial fibrosis, as there was a significant positive correlation between kidney collateral stasis and α-SMA expression</w:t>
      </w:r>
      <w:r w:rsidR="00AB2290" w:rsidRPr="007F7899">
        <w:rPr>
          <w:rFonts w:asciiTheme="majorBidi" w:hAnsiTheme="majorBidi" w:cstheme="majorBidi"/>
          <w:sz w:val="20"/>
          <w:szCs w:val="20"/>
        </w:rPr>
        <w:t xml:space="preserve"> [50</w:t>
      </w:r>
      <w:proofErr w:type="gramStart"/>
      <w:r w:rsidR="004D000C" w:rsidRPr="007F7899">
        <w:rPr>
          <w:rFonts w:asciiTheme="majorBidi" w:hAnsiTheme="majorBidi" w:cstheme="majorBidi"/>
          <w:sz w:val="20"/>
          <w:szCs w:val="20"/>
        </w:rPr>
        <w:t xml:space="preserve">] </w:t>
      </w:r>
      <w:r w:rsidRPr="007F7899">
        <w:rPr>
          <w:rFonts w:asciiTheme="majorBidi" w:hAnsiTheme="majorBidi" w:cstheme="majorBidi"/>
          <w:sz w:val="20"/>
          <w:szCs w:val="20"/>
        </w:rPr>
        <w:t>.</w:t>
      </w:r>
      <w:proofErr w:type="gramEnd"/>
      <w:r w:rsidRPr="007F7899">
        <w:rPr>
          <w:rFonts w:asciiTheme="majorBidi" w:hAnsiTheme="majorBidi" w:cstheme="majorBidi"/>
          <w:sz w:val="20"/>
          <w:szCs w:val="20"/>
        </w:rPr>
        <w:t xml:space="preserve"> So expression of alpha-smooth-muscle actin (ASMA) has suggested a new way to assess clini</w:t>
      </w:r>
      <w:r w:rsidR="00AC1D01">
        <w:rPr>
          <w:rFonts w:asciiTheme="majorBidi" w:hAnsiTheme="majorBidi" w:cstheme="majorBidi"/>
          <w:sz w:val="20"/>
          <w:szCs w:val="20"/>
        </w:rPr>
        <w:t>cal implications in the kidney.</w:t>
      </w:r>
      <w:r w:rsidRPr="007F7899">
        <w:rPr>
          <w:rFonts w:asciiTheme="majorBidi" w:hAnsiTheme="majorBidi" w:cstheme="majorBidi"/>
          <w:sz w:val="20"/>
          <w:szCs w:val="20"/>
        </w:rPr>
        <w:t xml:space="preserve">The effect of betaglycan on  TGF-β- dependent phenotypical changes in human immortalized HK2 has been examined </w:t>
      </w:r>
      <w:r w:rsidR="00C4315A" w:rsidRPr="007F7899">
        <w:rPr>
          <w:rFonts w:asciiTheme="majorBidi" w:hAnsiTheme="majorBidi" w:cstheme="majorBidi"/>
          <w:sz w:val="20"/>
          <w:szCs w:val="20"/>
        </w:rPr>
        <w:t xml:space="preserve">(Figure 17). </w:t>
      </w:r>
      <w:r w:rsidRPr="007F7899">
        <w:rPr>
          <w:rFonts w:asciiTheme="majorBidi" w:hAnsiTheme="majorBidi" w:cstheme="majorBidi"/>
          <w:sz w:val="20"/>
          <w:szCs w:val="20"/>
        </w:rPr>
        <w:t>The effect of knock down of betaglycan on E-cadherin and  alpha-smooth-muscle actin has been used to investigate whether the effect of betaglycan on TGF-β induced signalling resulted in changes in markers of EMT.</w:t>
      </w:r>
    </w:p>
    <w:p w:rsidR="009901A2" w:rsidRPr="007F7899" w:rsidRDefault="009901A2" w:rsidP="009901A2">
      <w:pPr>
        <w:widowControl w:val="0"/>
        <w:spacing w:before="100" w:beforeAutospacing="1" w:after="100" w:afterAutospacing="1" w:line="360" w:lineRule="auto"/>
        <w:jc w:val="center"/>
        <w:rPr>
          <w:rFonts w:asciiTheme="majorBidi" w:hAnsiTheme="majorBidi" w:cstheme="majorBidi"/>
          <w:sz w:val="20"/>
          <w:szCs w:val="20"/>
        </w:rPr>
      </w:pPr>
      <w:r>
        <w:rPr>
          <w:noProof/>
          <w:lang w:val="en-US"/>
        </w:rPr>
        <w:drawing>
          <wp:inline distT="0" distB="0" distL="0" distR="0" wp14:anchorId="46D2205D" wp14:editId="083A48DB">
            <wp:extent cx="3211427" cy="1870539"/>
            <wp:effectExtent l="0" t="0" r="825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218307" cy="1874546"/>
                    </a:xfrm>
                    <a:prstGeom prst="rect">
                      <a:avLst/>
                    </a:prstGeom>
                  </pic:spPr>
                </pic:pic>
              </a:graphicData>
            </a:graphic>
          </wp:inline>
        </w:drawing>
      </w:r>
    </w:p>
    <w:p w:rsidR="003B15A4" w:rsidRPr="007F7899" w:rsidRDefault="009901A2" w:rsidP="009901A2">
      <w:pPr>
        <w:widowControl w:val="0"/>
        <w:spacing w:before="100" w:beforeAutospacing="1" w:after="100" w:afterAutospacing="1" w:line="360" w:lineRule="auto"/>
        <w:jc w:val="center"/>
        <w:rPr>
          <w:rFonts w:asciiTheme="majorBidi" w:hAnsiTheme="majorBidi" w:cstheme="majorBidi"/>
          <w:b/>
          <w:bCs/>
          <w:sz w:val="20"/>
          <w:szCs w:val="20"/>
        </w:rPr>
      </w:pPr>
      <w:r>
        <w:rPr>
          <w:rFonts w:asciiTheme="majorBidi" w:hAnsiTheme="majorBidi" w:cstheme="majorBidi"/>
          <w:b/>
          <w:bCs/>
          <w:sz w:val="20"/>
          <w:szCs w:val="20"/>
        </w:rPr>
        <w:t xml:space="preserve">Figure 17: </w:t>
      </w:r>
      <w:r w:rsidR="00687442" w:rsidRPr="009901A2">
        <w:rPr>
          <w:rFonts w:asciiTheme="majorBidi" w:hAnsiTheme="majorBidi" w:cstheme="majorBidi"/>
          <w:sz w:val="20"/>
          <w:szCs w:val="20"/>
        </w:rPr>
        <w:t>Demonstration of the HK2 cell functions in terms of betaglycan expression after being knocked-down then stimulated by TGF-β:</w:t>
      </w:r>
    </w:p>
    <w:p w:rsidR="00DF2361" w:rsidRPr="009901A2" w:rsidRDefault="00BE453E" w:rsidP="009901A2">
      <w:pPr>
        <w:widowControl w:val="0"/>
        <w:spacing w:before="100" w:beforeAutospacing="1" w:after="100" w:afterAutospacing="1" w:line="360" w:lineRule="auto"/>
        <w:jc w:val="both"/>
        <w:rPr>
          <w:rFonts w:asciiTheme="majorBidi" w:hAnsiTheme="majorBidi" w:cstheme="majorBidi"/>
          <w:sz w:val="20"/>
          <w:szCs w:val="20"/>
        </w:rPr>
      </w:pPr>
      <w:r w:rsidRPr="009901A2">
        <w:rPr>
          <w:rFonts w:asciiTheme="majorBidi" w:hAnsiTheme="majorBidi" w:cstheme="majorBidi"/>
          <w:sz w:val="20"/>
          <w:szCs w:val="20"/>
        </w:rPr>
        <w:lastRenderedPageBreak/>
        <w:t xml:space="preserve">This Q-PCR bar graph illustrates betaglycan Expression after betaglycan knock-down then TGF-β stimulation at different time points, every sample compared to </w:t>
      </w:r>
      <w:proofErr w:type="gramStart"/>
      <w:r w:rsidRPr="009901A2">
        <w:rPr>
          <w:rFonts w:asciiTheme="majorBidi" w:hAnsiTheme="majorBidi" w:cstheme="majorBidi"/>
          <w:sz w:val="20"/>
          <w:szCs w:val="20"/>
        </w:rPr>
        <w:t>the  scramble</w:t>
      </w:r>
      <w:proofErr w:type="gramEnd"/>
      <w:r w:rsidRPr="009901A2">
        <w:rPr>
          <w:rFonts w:asciiTheme="majorBidi" w:hAnsiTheme="majorBidi" w:cstheme="majorBidi"/>
          <w:sz w:val="20"/>
          <w:szCs w:val="20"/>
        </w:rPr>
        <w:t>.</w:t>
      </w:r>
    </w:p>
    <w:p w:rsidR="00B96310" w:rsidRPr="009901A2" w:rsidRDefault="00246846" w:rsidP="009901A2">
      <w:pPr>
        <w:pStyle w:val="ListParagraph"/>
        <w:widowControl w:val="0"/>
        <w:numPr>
          <w:ilvl w:val="1"/>
          <w:numId w:val="4"/>
        </w:numPr>
        <w:spacing w:before="100" w:beforeAutospacing="1" w:after="100" w:afterAutospacing="1" w:line="360" w:lineRule="auto"/>
        <w:ind w:left="540" w:hanging="540"/>
        <w:jc w:val="both"/>
        <w:rPr>
          <w:rFonts w:asciiTheme="majorBidi" w:hAnsiTheme="majorBidi" w:cstheme="majorBidi"/>
          <w:b/>
          <w:bCs/>
          <w:i/>
          <w:iCs/>
          <w:sz w:val="20"/>
          <w:szCs w:val="20"/>
        </w:rPr>
      </w:pPr>
      <w:r w:rsidRPr="009901A2">
        <w:rPr>
          <w:rFonts w:asciiTheme="majorBidi" w:hAnsiTheme="majorBidi" w:cstheme="majorBidi"/>
          <w:b/>
          <w:bCs/>
          <w:i/>
          <w:iCs/>
          <w:sz w:val="20"/>
          <w:szCs w:val="20"/>
        </w:rPr>
        <w:t>Demonstration of E-cadherin expression by HK2 cells after betaglycan k</w:t>
      </w:r>
      <w:r w:rsidR="009901A2" w:rsidRPr="009901A2">
        <w:rPr>
          <w:rFonts w:asciiTheme="majorBidi" w:hAnsiTheme="majorBidi" w:cstheme="majorBidi"/>
          <w:b/>
          <w:bCs/>
          <w:i/>
          <w:iCs/>
          <w:sz w:val="20"/>
          <w:szCs w:val="20"/>
        </w:rPr>
        <w:t>nock-down and TGF-β stimulation</w:t>
      </w:r>
    </w:p>
    <w:p w:rsidR="00B96310" w:rsidRPr="007F7899" w:rsidRDefault="0024684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E-cadherin expression as an element of EMT in HK2 cells was investigated after betaglycan knock-down in the presence of TGF-β stimulation to examine whether there was an association of betaglycan with EMT. The result was that, E-cadherin was down regulated when betaglycan down regulated or lost</w:t>
      </w:r>
      <w:r w:rsidR="00DF2361" w:rsidRPr="007F7899">
        <w:rPr>
          <w:rFonts w:asciiTheme="majorBidi" w:hAnsiTheme="majorBidi" w:cstheme="majorBidi"/>
          <w:sz w:val="20"/>
          <w:szCs w:val="20"/>
        </w:rPr>
        <w:t xml:space="preserve"> (figure 18)</w:t>
      </w:r>
      <w:r w:rsidRPr="007F7899">
        <w:rPr>
          <w:rFonts w:asciiTheme="majorBidi" w:hAnsiTheme="majorBidi" w:cstheme="majorBidi"/>
          <w:sz w:val="20"/>
          <w:szCs w:val="20"/>
        </w:rPr>
        <w:t xml:space="preserve"> which suggested that there was an element of EMT in most of the time points.</w:t>
      </w:r>
    </w:p>
    <w:p w:rsidR="00DB3B4E" w:rsidRPr="007F7899" w:rsidRDefault="009901A2" w:rsidP="009901A2">
      <w:pPr>
        <w:widowControl w:val="0"/>
        <w:spacing w:before="100" w:beforeAutospacing="1" w:after="100" w:afterAutospacing="1" w:line="360" w:lineRule="auto"/>
        <w:jc w:val="center"/>
        <w:rPr>
          <w:rFonts w:asciiTheme="majorBidi" w:hAnsiTheme="majorBidi" w:cstheme="majorBidi"/>
          <w:b/>
          <w:bCs/>
          <w:sz w:val="20"/>
          <w:szCs w:val="20"/>
        </w:rPr>
      </w:pPr>
      <w:r>
        <w:rPr>
          <w:noProof/>
          <w:lang w:val="en-US"/>
        </w:rPr>
        <w:drawing>
          <wp:inline distT="0" distB="0" distL="0" distR="0" wp14:anchorId="036C210F" wp14:editId="4B17E568">
            <wp:extent cx="2864976" cy="1528353"/>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866612" cy="1529226"/>
                    </a:xfrm>
                    <a:prstGeom prst="rect">
                      <a:avLst/>
                    </a:prstGeom>
                  </pic:spPr>
                </pic:pic>
              </a:graphicData>
            </a:graphic>
          </wp:inline>
        </w:drawing>
      </w:r>
    </w:p>
    <w:p w:rsidR="00B96310" w:rsidRPr="009901A2" w:rsidRDefault="009901A2" w:rsidP="009901A2">
      <w:pPr>
        <w:widowControl w:val="0"/>
        <w:spacing w:before="100" w:beforeAutospacing="1" w:after="100" w:afterAutospacing="1" w:line="360" w:lineRule="auto"/>
        <w:jc w:val="center"/>
        <w:rPr>
          <w:rFonts w:asciiTheme="majorBidi" w:hAnsiTheme="majorBidi" w:cstheme="majorBidi"/>
          <w:b/>
          <w:bCs/>
          <w:sz w:val="20"/>
          <w:szCs w:val="20"/>
        </w:rPr>
      </w:pPr>
      <w:r>
        <w:rPr>
          <w:rFonts w:asciiTheme="majorBidi" w:hAnsiTheme="majorBidi" w:cstheme="majorBidi"/>
          <w:b/>
          <w:bCs/>
          <w:sz w:val="20"/>
          <w:szCs w:val="20"/>
        </w:rPr>
        <w:t>Figure 18</w:t>
      </w:r>
      <w:r w:rsidR="00246846" w:rsidRPr="007F7899">
        <w:rPr>
          <w:rFonts w:asciiTheme="majorBidi" w:hAnsiTheme="majorBidi" w:cstheme="majorBidi"/>
          <w:b/>
          <w:bCs/>
          <w:sz w:val="20"/>
          <w:szCs w:val="20"/>
        </w:rPr>
        <w:t>:</w:t>
      </w:r>
      <w:r w:rsidR="00042BD7" w:rsidRPr="007F7899">
        <w:rPr>
          <w:rFonts w:asciiTheme="majorBidi" w:hAnsiTheme="majorBidi" w:cstheme="majorBidi"/>
          <w:sz w:val="20"/>
          <w:szCs w:val="20"/>
        </w:rPr>
        <w:t xml:space="preserve"> </w:t>
      </w:r>
      <w:r w:rsidR="00042BD7" w:rsidRPr="009901A2">
        <w:rPr>
          <w:rFonts w:asciiTheme="majorBidi" w:hAnsiTheme="majorBidi" w:cstheme="majorBidi"/>
          <w:sz w:val="20"/>
          <w:szCs w:val="20"/>
        </w:rPr>
        <w:t>Q-PCR illustrates</w:t>
      </w:r>
      <w:r w:rsidR="00246846" w:rsidRPr="009901A2">
        <w:rPr>
          <w:rFonts w:asciiTheme="majorBidi" w:hAnsiTheme="majorBidi" w:cstheme="majorBidi"/>
          <w:sz w:val="20"/>
          <w:szCs w:val="20"/>
        </w:rPr>
        <w:t xml:space="preserve"> E-cadherin express</w:t>
      </w:r>
      <w:r w:rsidR="00330D2E" w:rsidRPr="009901A2">
        <w:rPr>
          <w:rFonts w:asciiTheme="majorBidi" w:hAnsiTheme="majorBidi" w:cstheme="majorBidi"/>
          <w:sz w:val="20"/>
          <w:szCs w:val="20"/>
        </w:rPr>
        <w:t>ion after BG</w:t>
      </w:r>
      <w:r w:rsidR="00246846" w:rsidRPr="009901A2">
        <w:rPr>
          <w:rFonts w:asciiTheme="majorBidi" w:hAnsiTheme="majorBidi" w:cstheme="majorBidi"/>
          <w:sz w:val="20"/>
          <w:szCs w:val="20"/>
        </w:rPr>
        <w:t xml:space="preserve"> kn</w:t>
      </w:r>
      <w:r w:rsidRPr="009901A2">
        <w:rPr>
          <w:rFonts w:asciiTheme="majorBidi" w:hAnsiTheme="majorBidi" w:cstheme="majorBidi"/>
          <w:sz w:val="20"/>
          <w:szCs w:val="20"/>
        </w:rPr>
        <w:t>ock-down and TGF-β stimulation</w:t>
      </w:r>
      <w:r>
        <w:rPr>
          <w:rFonts w:asciiTheme="majorBidi" w:hAnsiTheme="majorBidi" w:cstheme="majorBidi"/>
          <w:b/>
          <w:bCs/>
          <w:sz w:val="20"/>
          <w:szCs w:val="20"/>
        </w:rPr>
        <w:t xml:space="preserve"> </w:t>
      </w:r>
    </w:p>
    <w:p w:rsidR="00744927" w:rsidRPr="007F7899" w:rsidRDefault="00744927" w:rsidP="007F7899">
      <w:pPr>
        <w:widowControl w:val="0"/>
        <w:spacing w:before="100" w:beforeAutospacing="1" w:after="100" w:afterAutospacing="1" w:line="360" w:lineRule="auto"/>
        <w:jc w:val="both"/>
        <w:rPr>
          <w:rFonts w:asciiTheme="majorBidi" w:hAnsiTheme="majorBidi" w:cstheme="majorBidi"/>
          <w:b/>
          <w:bCs/>
          <w:sz w:val="20"/>
          <w:szCs w:val="20"/>
        </w:rPr>
      </w:pPr>
      <w:r w:rsidRPr="009901A2">
        <w:rPr>
          <w:rFonts w:asciiTheme="majorBidi" w:hAnsiTheme="majorBidi" w:cstheme="majorBidi"/>
          <w:sz w:val="20"/>
          <w:szCs w:val="20"/>
        </w:rPr>
        <w:t xml:space="preserve">Q-PCR illustrates the E-cadherin expression after betaglycan knock-down and TGF-β stimulation at different time points, </w:t>
      </w:r>
      <w:r w:rsidR="00604FBB" w:rsidRPr="009901A2">
        <w:rPr>
          <w:rFonts w:asciiTheme="majorBidi" w:hAnsiTheme="majorBidi" w:cstheme="majorBidi"/>
          <w:sz w:val="20"/>
          <w:szCs w:val="20"/>
        </w:rPr>
        <w:t>every sample compared to the</w:t>
      </w:r>
      <w:r w:rsidRPr="009901A2">
        <w:rPr>
          <w:rFonts w:asciiTheme="majorBidi" w:hAnsiTheme="majorBidi" w:cstheme="majorBidi"/>
          <w:sz w:val="20"/>
          <w:szCs w:val="20"/>
        </w:rPr>
        <w:t xml:space="preserve"> scramble one</w:t>
      </w:r>
    </w:p>
    <w:p w:rsidR="006A22BD" w:rsidRPr="009901A2" w:rsidRDefault="006A22BD" w:rsidP="009901A2">
      <w:pPr>
        <w:pStyle w:val="ListParagraph"/>
        <w:widowControl w:val="0"/>
        <w:numPr>
          <w:ilvl w:val="1"/>
          <w:numId w:val="4"/>
        </w:numPr>
        <w:spacing w:before="100" w:beforeAutospacing="1" w:after="100" w:afterAutospacing="1" w:line="360" w:lineRule="auto"/>
        <w:ind w:left="540" w:hanging="540"/>
        <w:jc w:val="both"/>
        <w:rPr>
          <w:rFonts w:asciiTheme="majorBidi" w:hAnsiTheme="majorBidi" w:cstheme="majorBidi"/>
          <w:b/>
          <w:bCs/>
          <w:i/>
          <w:iCs/>
          <w:sz w:val="20"/>
          <w:szCs w:val="20"/>
        </w:rPr>
      </w:pPr>
      <w:r w:rsidRPr="009901A2">
        <w:rPr>
          <w:rFonts w:asciiTheme="majorBidi" w:hAnsiTheme="majorBidi" w:cstheme="majorBidi"/>
          <w:b/>
          <w:bCs/>
          <w:i/>
          <w:iCs/>
          <w:sz w:val="20"/>
          <w:szCs w:val="20"/>
        </w:rPr>
        <w:t>Demonstration of α-sma expression of HK2 cells after betaglycan k</w:t>
      </w:r>
      <w:r w:rsidR="009901A2" w:rsidRPr="009901A2">
        <w:rPr>
          <w:rFonts w:asciiTheme="majorBidi" w:hAnsiTheme="majorBidi" w:cstheme="majorBidi"/>
          <w:b/>
          <w:bCs/>
          <w:i/>
          <w:iCs/>
          <w:sz w:val="20"/>
          <w:szCs w:val="20"/>
        </w:rPr>
        <w:t>nock-down and TGF-β stimulation</w:t>
      </w:r>
    </w:p>
    <w:p w:rsidR="00744927" w:rsidRPr="007F7899" w:rsidRDefault="00744927"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Alpha smooth muscle </w:t>
      </w:r>
      <w:proofErr w:type="gramStart"/>
      <w:r w:rsidRPr="007F7899">
        <w:rPr>
          <w:rFonts w:asciiTheme="majorBidi" w:hAnsiTheme="majorBidi" w:cstheme="majorBidi"/>
          <w:sz w:val="20"/>
          <w:szCs w:val="20"/>
        </w:rPr>
        <w:t>actin  expression</w:t>
      </w:r>
      <w:proofErr w:type="gramEnd"/>
      <w:r w:rsidRPr="007F7899">
        <w:rPr>
          <w:rFonts w:asciiTheme="majorBidi" w:hAnsiTheme="majorBidi" w:cstheme="majorBidi"/>
          <w:sz w:val="20"/>
          <w:szCs w:val="20"/>
        </w:rPr>
        <w:t xml:space="preserve"> as an element of EMT in HK2 cells was investigated after betaglycan knock-down in the presence of TGF-β stimulation to examine whether there was an association of betaglycan with EMT.</w:t>
      </w:r>
      <w:r w:rsidR="00EF58F8" w:rsidRPr="007F7899">
        <w:rPr>
          <w:rFonts w:asciiTheme="majorBidi" w:hAnsiTheme="majorBidi" w:cstheme="majorBidi"/>
          <w:sz w:val="20"/>
          <w:szCs w:val="20"/>
        </w:rPr>
        <w:t xml:space="preserve"> This is done by Real-time quantitative </w:t>
      </w:r>
      <w:proofErr w:type="gramStart"/>
      <w:r w:rsidR="00EF58F8" w:rsidRPr="007F7899">
        <w:rPr>
          <w:rFonts w:asciiTheme="majorBidi" w:hAnsiTheme="majorBidi" w:cstheme="majorBidi"/>
          <w:sz w:val="20"/>
          <w:szCs w:val="20"/>
        </w:rPr>
        <w:t>PCR</w:t>
      </w:r>
      <w:r w:rsidR="00333CAF" w:rsidRPr="007F7899">
        <w:rPr>
          <w:rFonts w:asciiTheme="majorBidi" w:hAnsiTheme="majorBidi" w:cstheme="majorBidi"/>
          <w:sz w:val="20"/>
          <w:szCs w:val="20"/>
        </w:rPr>
        <w:t>(</w:t>
      </w:r>
      <w:proofErr w:type="gramEnd"/>
      <w:r w:rsidR="00333CAF" w:rsidRPr="007F7899">
        <w:rPr>
          <w:rFonts w:asciiTheme="majorBidi" w:hAnsiTheme="majorBidi" w:cstheme="majorBidi"/>
          <w:sz w:val="20"/>
          <w:szCs w:val="20"/>
        </w:rPr>
        <w:t>figure 19)</w:t>
      </w:r>
      <w:r w:rsidR="00EF58F8" w:rsidRPr="007F7899">
        <w:rPr>
          <w:rFonts w:asciiTheme="majorBidi" w:hAnsiTheme="majorBidi" w:cstheme="majorBidi"/>
          <w:sz w:val="20"/>
          <w:szCs w:val="20"/>
        </w:rPr>
        <w:t>.</w:t>
      </w:r>
      <w:r w:rsidR="0086345C" w:rsidRPr="007F7899">
        <w:rPr>
          <w:rFonts w:asciiTheme="majorBidi" w:hAnsiTheme="majorBidi" w:cstheme="majorBidi"/>
          <w:sz w:val="20"/>
          <w:szCs w:val="20"/>
        </w:rPr>
        <w:t xml:space="preserve"> The result of α-sma was mildly up-regulated which suggested that there was an element of EMT when betaglycan was lost.</w:t>
      </w:r>
    </w:p>
    <w:p w:rsidR="004E1D5F" w:rsidRPr="007F7899" w:rsidRDefault="009901A2" w:rsidP="009901A2">
      <w:pPr>
        <w:widowControl w:val="0"/>
        <w:spacing w:before="100" w:beforeAutospacing="1" w:after="100" w:afterAutospacing="1" w:line="360" w:lineRule="auto"/>
        <w:jc w:val="center"/>
        <w:rPr>
          <w:rFonts w:asciiTheme="majorBidi" w:hAnsiTheme="majorBidi" w:cstheme="majorBidi"/>
          <w:b/>
          <w:bCs/>
          <w:sz w:val="20"/>
          <w:szCs w:val="20"/>
        </w:rPr>
      </w:pPr>
      <w:r>
        <w:rPr>
          <w:noProof/>
          <w:lang w:val="en-US"/>
        </w:rPr>
        <w:drawing>
          <wp:inline distT="0" distB="0" distL="0" distR="0" wp14:anchorId="373AC6B2" wp14:editId="19C35BA4">
            <wp:extent cx="3314700" cy="1768223"/>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321923" cy="1772076"/>
                    </a:xfrm>
                    <a:prstGeom prst="rect">
                      <a:avLst/>
                    </a:prstGeom>
                  </pic:spPr>
                </pic:pic>
              </a:graphicData>
            </a:graphic>
          </wp:inline>
        </w:drawing>
      </w:r>
    </w:p>
    <w:p w:rsidR="003639C9" w:rsidRPr="007F7899" w:rsidRDefault="009901A2" w:rsidP="009901A2">
      <w:pPr>
        <w:widowControl w:val="0"/>
        <w:spacing w:before="100" w:beforeAutospacing="1" w:after="100" w:afterAutospacing="1" w:line="360" w:lineRule="auto"/>
        <w:jc w:val="center"/>
        <w:rPr>
          <w:rFonts w:asciiTheme="majorBidi" w:hAnsiTheme="majorBidi" w:cstheme="majorBidi"/>
          <w:b/>
          <w:bCs/>
          <w:sz w:val="20"/>
          <w:szCs w:val="20"/>
        </w:rPr>
      </w:pPr>
      <w:r>
        <w:rPr>
          <w:rFonts w:asciiTheme="majorBidi" w:hAnsiTheme="majorBidi" w:cstheme="majorBidi"/>
          <w:b/>
          <w:bCs/>
          <w:sz w:val="20"/>
          <w:szCs w:val="20"/>
        </w:rPr>
        <w:t>Figure 19</w:t>
      </w:r>
      <w:r w:rsidR="006902F6" w:rsidRPr="007F7899">
        <w:rPr>
          <w:rFonts w:asciiTheme="majorBidi" w:hAnsiTheme="majorBidi" w:cstheme="majorBidi"/>
          <w:b/>
          <w:bCs/>
          <w:sz w:val="20"/>
          <w:szCs w:val="20"/>
        </w:rPr>
        <w:t xml:space="preserve">: </w:t>
      </w:r>
      <w:r w:rsidR="00D80C91" w:rsidRPr="009901A2">
        <w:rPr>
          <w:rFonts w:asciiTheme="majorBidi" w:hAnsiTheme="majorBidi" w:cstheme="majorBidi"/>
          <w:sz w:val="20"/>
          <w:szCs w:val="20"/>
        </w:rPr>
        <w:t xml:space="preserve">Q-PCR illustrates </w:t>
      </w:r>
      <w:r w:rsidR="003639C9" w:rsidRPr="009901A2">
        <w:rPr>
          <w:rFonts w:asciiTheme="majorBidi" w:hAnsiTheme="majorBidi" w:cstheme="majorBidi"/>
          <w:sz w:val="20"/>
          <w:szCs w:val="20"/>
        </w:rPr>
        <w:t>α-sma expression after betaglycan k</w:t>
      </w:r>
      <w:r w:rsidRPr="009901A2">
        <w:rPr>
          <w:rFonts w:asciiTheme="majorBidi" w:hAnsiTheme="majorBidi" w:cstheme="majorBidi"/>
          <w:sz w:val="20"/>
          <w:szCs w:val="20"/>
        </w:rPr>
        <w:t>nock-down and TGF-β stimulation</w:t>
      </w:r>
    </w:p>
    <w:p w:rsidR="00604FBB" w:rsidRPr="009901A2" w:rsidRDefault="009901A2" w:rsidP="009901A2">
      <w:pPr>
        <w:pStyle w:val="ListParagraph"/>
        <w:widowControl w:val="0"/>
        <w:numPr>
          <w:ilvl w:val="1"/>
          <w:numId w:val="5"/>
        </w:numPr>
        <w:spacing w:before="100" w:beforeAutospacing="1" w:after="100" w:afterAutospacing="1" w:line="360" w:lineRule="auto"/>
        <w:ind w:left="540" w:hanging="540"/>
        <w:jc w:val="both"/>
        <w:rPr>
          <w:rFonts w:asciiTheme="majorBidi" w:hAnsiTheme="majorBidi" w:cstheme="majorBidi"/>
          <w:b/>
          <w:bCs/>
          <w:i/>
          <w:iCs/>
          <w:sz w:val="20"/>
          <w:szCs w:val="20"/>
        </w:rPr>
      </w:pPr>
      <w:r w:rsidRPr="009901A2">
        <w:rPr>
          <w:rFonts w:asciiTheme="majorBidi" w:hAnsiTheme="majorBidi" w:cstheme="majorBidi"/>
          <w:b/>
          <w:bCs/>
          <w:i/>
          <w:iCs/>
          <w:sz w:val="20"/>
          <w:szCs w:val="20"/>
        </w:rPr>
        <w:lastRenderedPageBreak/>
        <w:t xml:space="preserve"> </w:t>
      </w:r>
      <w:r w:rsidR="00D26057" w:rsidRPr="009901A2">
        <w:rPr>
          <w:rFonts w:asciiTheme="majorBidi" w:hAnsiTheme="majorBidi" w:cstheme="majorBidi"/>
          <w:b/>
          <w:bCs/>
          <w:i/>
          <w:iCs/>
          <w:sz w:val="20"/>
          <w:szCs w:val="20"/>
        </w:rPr>
        <w:t>Relationship of betaglycan to PAI-1( Plasminogen activator in</w:t>
      </w:r>
      <w:r w:rsidRPr="009901A2">
        <w:rPr>
          <w:rFonts w:asciiTheme="majorBidi" w:hAnsiTheme="majorBidi" w:cstheme="majorBidi"/>
          <w:b/>
          <w:bCs/>
          <w:i/>
          <w:iCs/>
          <w:sz w:val="20"/>
          <w:szCs w:val="20"/>
        </w:rPr>
        <w:t xml:space="preserve">hibitor-1) </w:t>
      </w:r>
      <w:r w:rsidR="00D26057" w:rsidRPr="009901A2">
        <w:rPr>
          <w:rFonts w:asciiTheme="majorBidi" w:hAnsiTheme="majorBidi" w:cstheme="majorBidi"/>
          <w:b/>
          <w:bCs/>
          <w:i/>
          <w:iCs/>
          <w:sz w:val="20"/>
          <w:szCs w:val="20"/>
        </w:rPr>
        <w:t xml:space="preserve"> </w:t>
      </w:r>
    </w:p>
    <w:p w:rsidR="0049471D" w:rsidRPr="007F7899" w:rsidRDefault="0049471D"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The purpose of the experiment was to determine whether betaglycan knock-down induced TGF-β down regulation as a direct action or through PAI-1 which is the mean TGF-β inducer.  In this experiment, when TGF-β applied, PAI-1 expression increased that means betaglycan knock-down does not depends on PAI-1 action.Type-1 inhibitor of plasminogen activator (PAI-1) is an important physiological regulator of extracellular matrix (ECM) homeostasis and cell motility. TGF-β1, in particular, is a powerful inducer of matrix deposition/turnover, cell locomotion and PAI-1 expression.</w:t>
      </w:r>
      <w:r w:rsidR="00EA6C4D" w:rsidRPr="007F7899">
        <w:rPr>
          <w:rFonts w:asciiTheme="majorBidi" w:hAnsiTheme="majorBidi" w:cstheme="majorBidi"/>
          <w:sz w:val="20"/>
          <w:szCs w:val="20"/>
        </w:rPr>
        <w:t xml:space="preserve"> </w:t>
      </w:r>
      <w:r w:rsidRPr="007F7899">
        <w:rPr>
          <w:rFonts w:asciiTheme="majorBidi" w:hAnsiTheme="majorBidi" w:cstheme="majorBidi"/>
          <w:sz w:val="20"/>
          <w:szCs w:val="20"/>
        </w:rPr>
        <w:t>Plasminogen activator inhibitor-1 is the main inhibitor of tissue plasminogen activator (</w:t>
      </w:r>
      <w:proofErr w:type="gramStart"/>
      <w:r w:rsidRPr="007F7899">
        <w:rPr>
          <w:rFonts w:asciiTheme="majorBidi" w:hAnsiTheme="majorBidi" w:cstheme="majorBidi"/>
          <w:sz w:val="20"/>
          <w:szCs w:val="20"/>
        </w:rPr>
        <w:t>tPA</w:t>
      </w:r>
      <w:proofErr w:type="gramEnd"/>
      <w:r w:rsidRPr="007F7899">
        <w:rPr>
          <w:rFonts w:asciiTheme="majorBidi" w:hAnsiTheme="majorBidi" w:cstheme="majorBidi"/>
          <w:sz w:val="20"/>
          <w:szCs w:val="20"/>
        </w:rPr>
        <w:t>) and urokinase (uPA), the activators of plasminogen and hence fibrinolysis.  High levels of PAI-1 are found in severe sepsis while low levels or deficiency are found in bleeding.  Thus plays a role in inflammatory lung disease and malignancy.  It has an important role in renal disease where high levels of PAI-1 are found in nephritic and haemolytic uremic syndrome.</w:t>
      </w:r>
    </w:p>
    <w:p w:rsidR="0049471D" w:rsidRPr="007F7899" w:rsidRDefault="0049471D"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The following experiment, tries to determine the relationship between PAI-1 and betaglycan</w:t>
      </w:r>
      <w:proofErr w:type="gramStart"/>
      <w:r w:rsidRPr="007F7899">
        <w:rPr>
          <w:rFonts w:asciiTheme="majorBidi" w:hAnsiTheme="majorBidi" w:cstheme="majorBidi"/>
          <w:sz w:val="20"/>
          <w:szCs w:val="20"/>
        </w:rPr>
        <w:t>,  and</w:t>
      </w:r>
      <w:proofErr w:type="gramEnd"/>
      <w:r w:rsidRPr="007F7899">
        <w:rPr>
          <w:rFonts w:asciiTheme="majorBidi" w:hAnsiTheme="majorBidi" w:cstheme="majorBidi"/>
          <w:sz w:val="20"/>
          <w:szCs w:val="20"/>
        </w:rPr>
        <w:t xml:space="preserve"> as TGF-β i</w:t>
      </w:r>
      <w:r w:rsidR="00DB3B4E" w:rsidRPr="007F7899">
        <w:rPr>
          <w:rFonts w:asciiTheme="majorBidi" w:hAnsiTheme="majorBidi" w:cstheme="majorBidi"/>
          <w:sz w:val="20"/>
          <w:szCs w:val="20"/>
        </w:rPr>
        <w:t xml:space="preserve">nduces PAI-1, </w:t>
      </w:r>
      <w:r w:rsidR="00333CAF" w:rsidRPr="007F7899">
        <w:rPr>
          <w:rFonts w:asciiTheme="majorBidi" w:hAnsiTheme="majorBidi" w:cstheme="majorBidi"/>
          <w:sz w:val="20"/>
          <w:szCs w:val="20"/>
        </w:rPr>
        <w:t>(figure 20)</w:t>
      </w:r>
      <w:r w:rsidRPr="007F7899">
        <w:rPr>
          <w:rFonts w:asciiTheme="majorBidi" w:hAnsiTheme="majorBidi" w:cstheme="majorBidi"/>
          <w:sz w:val="20"/>
          <w:szCs w:val="20"/>
        </w:rPr>
        <w:t>.  Starting the experiment which lasts 48 hours in triplicate samples, mRNA was isolated, reverse transcribed, then quantified by Real-time quantitative PCR</w:t>
      </w:r>
      <w:r w:rsidR="000E2969" w:rsidRPr="007F7899">
        <w:rPr>
          <w:rFonts w:asciiTheme="majorBidi" w:hAnsiTheme="majorBidi" w:cstheme="majorBidi"/>
          <w:sz w:val="20"/>
          <w:szCs w:val="20"/>
        </w:rPr>
        <w:t>.</w:t>
      </w:r>
      <w:r w:rsidRPr="007F7899">
        <w:rPr>
          <w:rFonts w:asciiTheme="majorBidi" w:hAnsiTheme="majorBidi" w:cstheme="majorBidi"/>
          <w:sz w:val="20"/>
          <w:szCs w:val="20"/>
        </w:rPr>
        <w:t xml:space="preserve"> The result of PAI-1 was down regulated but when TGF-β was given, PAI-1 expression was increased, that means PAI-1 has no relationship with betaglycan when it acts on TGF-β which instead it has been induced leading to relatively increa</w:t>
      </w:r>
      <w:r w:rsidR="00C92EE4" w:rsidRPr="007F7899">
        <w:rPr>
          <w:rFonts w:asciiTheme="majorBidi" w:hAnsiTheme="majorBidi" w:cstheme="majorBidi"/>
          <w:sz w:val="20"/>
          <w:szCs w:val="20"/>
        </w:rPr>
        <w:t>sed PAI-1 expression (Figure 20</w:t>
      </w:r>
      <w:r w:rsidRPr="007F7899">
        <w:rPr>
          <w:rFonts w:asciiTheme="majorBidi" w:hAnsiTheme="majorBidi" w:cstheme="majorBidi"/>
          <w:sz w:val="20"/>
          <w:szCs w:val="20"/>
        </w:rPr>
        <w:t>).</w:t>
      </w:r>
    </w:p>
    <w:p w:rsidR="00FB0221" w:rsidRPr="007F7899" w:rsidRDefault="009901A2" w:rsidP="009901A2">
      <w:pPr>
        <w:widowControl w:val="0"/>
        <w:spacing w:before="100" w:beforeAutospacing="1" w:after="100" w:afterAutospacing="1" w:line="360" w:lineRule="auto"/>
        <w:jc w:val="center"/>
        <w:rPr>
          <w:rFonts w:asciiTheme="majorBidi" w:hAnsiTheme="majorBidi" w:cstheme="majorBidi"/>
          <w:b/>
          <w:bCs/>
          <w:sz w:val="20"/>
          <w:szCs w:val="20"/>
        </w:rPr>
      </w:pPr>
      <w:r>
        <w:rPr>
          <w:noProof/>
          <w:lang w:val="en-US"/>
        </w:rPr>
        <w:drawing>
          <wp:inline distT="0" distB="0" distL="0" distR="0" wp14:anchorId="2B835DE3" wp14:editId="4370D1C1">
            <wp:extent cx="5486400" cy="2985770"/>
            <wp:effectExtent l="0" t="0" r="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486400" cy="2985770"/>
                    </a:xfrm>
                    <a:prstGeom prst="rect">
                      <a:avLst/>
                    </a:prstGeom>
                  </pic:spPr>
                </pic:pic>
              </a:graphicData>
            </a:graphic>
          </wp:inline>
        </w:drawing>
      </w:r>
    </w:p>
    <w:p w:rsidR="009901A2" w:rsidRPr="007F7899" w:rsidRDefault="009901A2" w:rsidP="009901A2">
      <w:pPr>
        <w:widowControl w:val="0"/>
        <w:shd w:val="clear" w:color="auto" w:fill="FFFFFF" w:themeFill="background1"/>
        <w:spacing w:before="100" w:beforeAutospacing="1" w:after="100" w:afterAutospacing="1" w:line="360" w:lineRule="auto"/>
        <w:jc w:val="center"/>
        <w:rPr>
          <w:rFonts w:asciiTheme="majorBidi" w:hAnsiTheme="majorBidi" w:cstheme="majorBidi"/>
          <w:b/>
          <w:bCs/>
          <w:sz w:val="20"/>
          <w:szCs w:val="20"/>
        </w:rPr>
      </w:pPr>
      <w:r>
        <w:rPr>
          <w:rFonts w:asciiTheme="majorBidi" w:hAnsiTheme="majorBidi" w:cstheme="majorBidi"/>
          <w:b/>
          <w:bCs/>
          <w:sz w:val="20"/>
          <w:szCs w:val="20"/>
        </w:rPr>
        <w:t>Figure 20</w:t>
      </w:r>
      <w:r w:rsidRPr="007F7899">
        <w:rPr>
          <w:rFonts w:asciiTheme="majorBidi" w:hAnsiTheme="majorBidi" w:cstheme="majorBidi"/>
          <w:b/>
          <w:bCs/>
          <w:sz w:val="20"/>
          <w:szCs w:val="20"/>
        </w:rPr>
        <w:t xml:space="preserve">:  </w:t>
      </w:r>
      <w:r w:rsidRPr="009901A2">
        <w:rPr>
          <w:rFonts w:asciiTheme="majorBidi" w:hAnsiTheme="majorBidi" w:cstheme="majorBidi"/>
          <w:sz w:val="20"/>
          <w:szCs w:val="20"/>
        </w:rPr>
        <w:t>Plasminogen activator inhibitor-1 and BG. Relationship</w:t>
      </w:r>
      <w:r>
        <w:rPr>
          <w:rFonts w:asciiTheme="majorBidi" w:hAnsiTheme="majorBidi" w:cstheme="majorBidi"/>
          <w:b/>
          <w:bCs/>
          <w:sz w:val="20"/>
          <w:szCs w:val="20"/>
        </w:rPr>
        <w:t xml:space="preserve"> </w:t>
      </w:r>
    </w:p>
    <w:p w:rsidR="006A22BD" w:rsidRPr="009901A2" w:rsidRDefault="009E21F5" w:rsidP="007F7899">
      <w:pPr>
        <w:widowControl w:val="0"/>
        <w:spacing w:before="100" w:beforeAutospacing="1" w:after="100" w:afterAutospacing="1" w:line="360" w:lineRule="auto"/>
        <w:jc w:val="both"/>
        <w:rPr>
          <w:rFonts w:asciiTheme="majorBidi" w:hAnsiTheme="majorBidi" w:cstheme="majorBidi"/>
          <w:sz w:val="20"/>
          <w:szCs w:val="20"/>
        </w:rPr>
      </w:pPr>
      <w:r w:rsidRPr="009901A2">
        <w:rPr>
          <w:rFonts w:asciiTheme="majorBidi" w:hAnsiTheme="majorBidi" w:cstheme="majorBidi"/>
          <w:sz w:val="20"/>
          <w:szCs w:val="20"/>
        </w:rPr>
        <w:t xml:space="preserve">The above </w:t>
      </w:r>
      <w:proofErr w:type="gramStart"/>
      <w:r w:rsidRPr="009901A2">
        <w:rPr>
          <w:rFonts w:asciiTheme="majorBidi" w:hAnsiTheme="majorBidi" w:cstheme="majorBidi"/>
          <w:sz w:val="20"/>
          <w:szCs w:val="20"/>
        </w:rPr>
        <w:t xml:space="preserve">is </w:t>
      </w:r>
      <w:r w:rsidR="00671028" w:rsidRPr="009901A2">
        <w:rPr>
          <w:rFonts w:asciiTheme="majorBidi" w:hAnsiTheme="majorBidi" w:cstheme="majorBidi"/>
          <w:sz w:val="20"/>
          <w:szCs w:val="20"/>
        </w:rPr>
        <w:t xml:space="preserve"> Q</w:t>
      </w:r>
      <w:proofErr w:type="gramEnd"/>
      <w:r w:rsidR="00671028" w:rsidRPr="009901A2">
        <w:rPr>
          <w:rFonts w:asciiTheme="majorBidi" w:hAnsiTheme="majorBidi" w:cstheme="majorBidi"/>
          <w:sz w:val="20"/>
          <w:szCs w:val="20"/>
        </w:rPr>
        <w:t xml:space="preserve">-PCR Paragraph of PAI-1 Expressions following betaglycan knock-down with and without Tgf-β stimulation at different time points, </w:t>
      </w:r>
      <w:r w:rsidR="006A22BD" w:rsidRPr="009901A2">
        <w:rPr>
          <w:rFonts w:asciiTheme="majorBidi" w:hAnsiTheme="majorBidi" w:cstheme="majorBidi"/>
          <w:sz w:val="20"/>
          <w:szCs w:val="20"/>
        </w:rPr>
        <w:t xml:space="preserve">every sample compared to the </w:t>
      </w:r>
      <w:r w:rsidR="00671028" w:rsidRPr="009901A2">
        <w:rPr>
          <w:rFonts w:asciiTheme="majorBidi" w:hAnsiTheme="majorBidi" w:cstheme="majorBidi"/>
          <w:sz w:val="20"/>
          <w:szCs w:val="20"/>
        </w:rPr>
        <w:t xml:space="preserve"> scrample one</w:t>
      </w:r>
      <w:r w:rsidRPr="009901A2">
        <w:rPr>
          <w:rFonts w:asciiTheme="majorBidi" w:hAnsiTheme="majorBidi" w:cstheme="majorBidi"/>
          <w:sz w:val="20"/>
          <w:szCs w:val="20"/>
        </w:rPr>
        <w:t>.</w:t>
      </w:r>
    </w:p>
    <w:p w:rsidR="00671028" w:rsidRPr="007F7899" w:rsidRDefault="00671028"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Fibrosis might occur in a variety of organs which are mainly composed of epithelial cells, such as kidney, lung </w:t>
      </w:r>
      <w:r w:rsidRPr="007F7899">
        <w:rPr>
          <w:rFonts w:asciiTheme="majorBidi" w:hAnsiTheme="majorBidi" w:cstheme="majorBidi"/>
          <w:sz w:val="20"/>
          <w:szCs w:val="20"/>
        </w:rPr>
        <w:lastRenderedPageBreak/>
        <w:t xml:space="preserve">and the </w:t>
      </w:r>
      <w:proofErr w:type="gramStart"/>
      <w:r w:rsidRPr="007F7899">
        <w:rPr>
          <w:rFonts w:asciiTheme="majorBidi" w:hAnsiTheme="majorBidi" w:cstheme="majorBidi"/>
          <w:sz w:val="20"/>
          <w:szCs w:val="20"/>
        </w:rPr>
        <w:t>liver</w:t>
      </w:r>
      <w:r w:rsidR="00AB2290" w:rsidRPr="007F7899">
        <w:rPr>
          <w:rFonts w:asciiTheme="majorBidi" w:hAnsiTheme="majorBidi" w:cstheme="majorBidi"/>
          <w:sz w:val="20"/>
          <w:szCs w:val="20"/>
        </w:rPr>
        <w:t>[</w:t>
      </w:r>
      <w:proofErr w:type="gramEnd"/>
      <w:r w:rsidR="00AB2290" w:rsidRPr="007F7899">
        <w:rPr>
          <w:rFonts w:asciiTheme="majorBidi" w:hAnsiTheme="majorBidi" w:cstheme="majorBidi"/>
          <w:sz w:val="20"/>
          <w:szCs w:val="20"/>
        </w:rPr>
        <w:t>51</w:t>
      </w:r>
      <w:r w:rsidR="004D000C"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 Inflammatory signals derived from proliferating interstitial fibroblasts and inflammatory cells lead to an expanded ECM and fibrosis. The analyses of diseased human kidney biopsies, revealed the appearance of EMT markers </w:t>
      </w:r>
      <w:r w:rsidR="004D000C" w:rsidRPr="007F7899">
        <w:rPr>
          <w:rFonts w:asciiTheme="majorBidi" w:hAnsiTheme="majorBidi" w:cstheme="majorBidi"/>
          <w:sz w:val="20"/>
          <w:szCs w:val="20"/>
        </w:rPr>
        <w:t>[</w:t>
      </w:r>
      <w:r w:rsidR="00AB2290" w:rsidRPr="007F7899">
        <w:rPr>
          <w:rFonts w:asciiTheme="majorBidi" w:hAnsiTheme="majorBidi" w:cstheme="majorBidi"/>
          <w:sz w:val="20"/>
          <w:szCs w:val="20"/>
        </w:rPr>
        <w:t>52</w:t>
      </w:r>
      <w:proofErr w:type="gramStart"/>
      <w:r w:rsidR="004D000C" w:rsidRPr="007F7899">
        <w:rPr>
          <w:rFonts w:asciiTheme="majorBidi" w:hAnsiTheme="majorBidi" w:cstheme="majorBidi"/>
          <w:sz w:val="20"/>
          <w:szCs w:val="20"/>
        </w:rPr>
        <w:t>] .</w:t>
      </w:r>
      <w:proofErr w:type="gramEnd"/>
      <w:r w:rsidR="004D000C"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There is also the generation of myofibroblasts by the proximal tubular epithelial cells via </w:t>
      </w:r>
      <w:proofErr w:type="gramStart"/>
      <w:r w:rsidRPr="007F7899">
        <w:rPr>
          <w:rFonts w:asciiTheme="majorBidi" w:hAnsiTheme="majorBidi" w:cstheme="majorBidi"/>
          <w:sz w:val="20"/>
          <w:szCs w:val="20"/>
        </w:rPr>
        <w:t>EMT</w:t>
      </w:r>
      <w:r w:rsidR="00C7545E" w:rsidRPr="007F7899">
        <w:rPr>
          <w:rFonts w:asciiTheme="majorBidi" w:hAnsiTheme="majorBidi" w:cstheme="majorBidi"/>
          <w:sz w:val="20"/>
          <w:szCs w:val="20"/>
        </w:rPr>
        <w:t>[</w:t>
      </w:r>
      <w:proofErr w:type="gramEnd"/>
      <w:r w:rsidR="00C7545E" w:rsidRPr="007F7899">
        <w:rPr>
          <w:rFonts w:asciiTheme="majorBidi" w:hAnsiTheme="majorBidi" w:cstheme="majorBidi"/>
          <w:sz w:val="20"/>
          <w:szCs w:val="20"/>
        </w:rPr>
        <w:t>4</w:t>
      </w:r>
      <w:r w:rsidR="00F33405" w:rsidRPr="007F7899">
        <w:rPr>
          <w:rFonts w:asciiTheme="majorBidi" w:hAnsiTheme="majorBidi" w:cstheme="majorBidi"/>
          <w:sz w:val="20"/>
          <w:szCs w:val="20"/>
        </w:rPr>
        <w:t>9</w:t>
      </w:r>
      <w:r w:rsidR="009F3BA5" w:rsidRPr="007F7899">
        <w:rPr>
          <w:rFonts w:asciiTheme="majorBidi" w:hAnsiTheme="majorBidi" w:cstheme="majorBidi"/>
          <w:sz w:val="20"/>
          <w:szCs w:val="20"/>
        </w:rPr>
        <w:t xml:space="preserve">] </w:t>
      </w:r>
      <w:r w:rsidRPr="007F7899">
        <w:rPr>
          <w:rFonts w:asciiTheme="majorBidi" w:hAnsiTheme="majorBidi" w:cstheme="majorBidi"/>
          <w:sz w:val="20"/>
          <w:szCs w:val="20"/>
        </w:rPr>
        <w:t>. In addition, there is evidence in</w:t>
      </w:r>
      <w:r w:rsidRPr="007F7899">
        <w:rPr>
          <w:rFonts w:ascii="Cambria Math" w:hAnsi="Cambria Math" w:cs="Cambria Math"/>
          <w:sz w:val="20"/>
          <w:szCs w:val="20"/>
        </w:rPr>
        <w:t>‐</w:t>
      </w:r>
      <w:r w:rsidRPr="007F7899">
        <w:rPr>
          <w:rFonts w:asciiTheme="majorBidi" w:hAnsiTheme="majorBidi" w:cstheme="majorBidi"/>
          <w:sz w:val="20"/>
          <w:szCs w:val="20"/>
        </w:rPr>
        <w:t>vitro that EMT phenotypes occur in different non</w:t>
      </w:r>
      <w:r w:rsidRPr="007F7899">
        <w:rPr>
          <w:rFonts w:ascii="Cambria Math" w:hAnsi="Cambria Math" w:cs="Cambria Math"/>
          <w:sz w:val="20"/>
          <w:szCs w:val="20"/>
        </w:rPr>
        <w:t>‐</w:t>
      </w:r>
      <w:r w:rsidRPr="007F7899">
        <w:rPr>
          <w:rFonts w:asciiTheme="majorBidi" w:hAnsiTheme="majorBidi" w:cstheme="majorBidi"/>
          <w:sz w:val="20"/>
          <w:szCs w:val="20"/>
        </w:rPr>
        <w:t xml:space="preserve">malignant epithelial cells of different origin. This includes renal, hepatic and pulmonary cells in which a process associated with the expression of mesenchymal marker proteins which can be induced by different stimuli as TGF-β and Proteinase-activated receptors (PARs). </w:t>
      </w:r>
      <w:r w:rsidR="00C7545E" w:rsidRPr="007F7899">
        <w:rPr>
          <w:rFonts w:asciiTheme="majorBidi" w:hAnsiTheme="majorBidi" w:cstheme="majorBidi"/>
          <w:sz w:val="20"/>
          <w:szCs w:val="20"/>
        </w:rPr>
        <w:t>[</w:t>
      </w:r>
      <w:r w:rsidR="00AB2290" w:rsidRPr="007F7899">
        <w:rPr>
          <w:rFonts w:asciiTheme="majorBidi" w:hAnsiTheme="majorBidi" w:cstheme="majorBidi"/>
          <w:sz w:val="20"/>
          <w:szCs w:val="20"/>
        </w:rPr>
        <w:t>53</w:t>
      </w:r>
      <w:r w:rsidR="009F3BA5" w:rsidRPr="007F7899">
        <w:rPr>
          <w:rFonts w:asciiTheme="majorBidi" w:hAnsiTheme="majorBidi" w:cstheme="majorBidi"/>
          <w:sz w:val="20"/>
          <w:szCs w:val="20"/>
        </w:rPr>
        <w:t>].</w:t>
      </w:r>
    </w:p>
    <w:p w:rsidR="00671028" w:rsidRPr="007F7899" w:rsidRDefault="00671028"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TGF-β, α-sma and E-cadherin have a relationship with betaglycan regarding its expressions </w:t>
      </w:r>
      <w:proofErr w:type="gramStart"/>
      <w:r w:rsidRPr="007F7899">
        <w:rPr>
          <w:rFonts w:asciiTheme="majorBidi" w:hAnsiTheme="majorBidi" w:cstheme="majorBidi"/>
          <w:sz w:val="20"/>
          <w:szCs w:val="20"/>
        </w:rPr>
        <w:t>and  knock</w:t>
      </w:r>
      <w:proofErr w:type="gramEnd"/>
      <w:r w:rsidRPr="007F7899">
        <w:rPr>
          <w:rFonts w:asciiTheme="majorBidi" w:hAnsiTheme="majorBidi" w:cstheme="majorBidi"/>
          <w:sz w:val="20"/>
          <w:szCs w:val="20"/>
        </w:rPr>
        <w:t xml:space="preserve">-down.  All of these subsequently have an impact on HK2 cells.  TGF-β produced a high level of betaglycan expression, and this was shown in the previous chapters but when betaglycan knocked-down, its expression dropped down, that means TGF-β biological activity can be controlled. Transforming growth factor-β (TGF-β) is a key mediator in the pathogenesis of renal diseases but TGF-β activity has been reduced during betaglycan knock-down, so kidney diseases and fibrosis can be reduced. This renoprotective advantage of betaglycan is induced by its soluble form which binds TGF-β with the high affinity of the membrane betaglycan, but actions </w:t>
      </w:r>
      <w:r w:rsidR="00C7545E" w:rsidRPr="007F7899">
        <w:rPr>
          <w:rFonts w:asciiTheme="majorBidi" w:hAnsiTheme="majorBidi" w:cstheme="majorBidi"/>
          <w:sz w:val="20"/>
          <w:szCs w:val="20"/>
        </w:rPr>
        <w:t>[</w:t>
      </w:r>
      <w:r w:rsidR="00AB2290" w:rsidRPr="007F7899">
        <w:rPr>
          <w:rFonts w:asciiTheme="majorBidi" w:hAnsiTheme="majorBidi" w:cstheme="majorBidi"/>
          <w:sz w:val="20"/>
          <w:szCs w:val="20"/>
        </w:rPr>
        <w:t xml:space="preserve">instead of presenting it to the type II receptor, soluble betaglycan sequesters it and thus neutralizes its </w:t>
      </w:r>
      <w:r w:rsidR="00C7545E" w:rsidRPr="007F7899">
        <w:rPr>
          <w:rFonts w:asciiTheme="majorBidi" w:hAnsiTheme="majorBidi" w:cstheme="majorBidi"/>
          <w:sz w:val="20"/>
          <w:szCs w:val="20"/>
        </w:rPr>
        <w:t>5</w:t>
      </w:r>
      <w:r w:rsidR="00AB2290" w:rsidRPr="007F7899">
        <w:rPr>
          <w:rFonts w:asciiTheme="majorBidi" w:hAnsiTheme="majorBidi" w:cstheme="majorBidi"/>
          <w:sz w:val="20"/>
          <w:szCs w:val="20"/>
        </w:rPr>
        <w:t>4</w:t>
      </w:r>
      <w:r w:rsidR="009F3BA5" w:rsidRPr="007F7899">
        <w:rPr>
          <w:rFonts w:asciiTheme="majorBidi" w:hAnsiTheme="majorBidi" w:cstheme="majorBidi"/>
          <w:sz w:val="20"/>
          <w:szCs w:val="20"/>
        </w:rPr>
        <w:t>].</w:t>
      </w:r>
    </w:p>
    <w:p w:rsidR="00671028" w:rsidRPr="007F7899" w:rsidRDefault="00671028"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E-cadherin and α-sma expression can also be explored when betaglycan knocked-down. That was evident when samples compared to the 1st scramble did occur during EMT, with E-cadherin expression reduced while  α-sma expression was increased and that supports EMT as an effect of betaglycan knock-down, this effect was found to be mild, and this is where the role of betaglycan comes, its presence will reduce EMT effect.</w:t>
      </w:r>
    </w:p>
    <w:p w:rsidR="00671028" w:rsidRPr="007F7899" w:rsidRDefault="00671028"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 Once the relationship of  betaglycan and TGF-β  signalling was determined and TGF-β is an inducer of PAI-1,  betaglycan̕s relationship with PAI-1 could also be studied, and there was no direct action, but when TGF-β was applied, PAI-1 expression increased and that supports the argument that betaglycan has no relation with PAI-1 but a direct action with TGF-β which is the mean inducer of PAI and there might be other mechanisms have been involved as cells were  more reactive to TGF-β. It has clearly been shown in this chapter that betaglycan has an important role in reducing epithelial-mesenchymal transformation (EMT).</w:t>
      </w:r>
    </w:p>
    <w:p w:rsidR="0079279A" w:rsidRPr="009901A2" w:rsidRDefault="009901A2" w:rsidP="009901A2">
      <w:pPr>
        <w:pStyle w:val="ListParagraph"/>
        <w:widowControl w:val="0"/>
        <w:numPr>
          <w:ilvl w:val="0"/>
          <w:numId w:val="5"/>
        </w:numPr>
        <w:spacing w:before="100" w:beforeAutospacing="1" w:after="100" w:afterAutospacing="1" w:line="360" w:lineRule="auto"/>
        <w:ind w:left="180" w:hanging="180"/>
        <w:jc w:val="both"/>
        <w:rPr>
          <w:rFonts w:asciiTheme="majorBidi" w:hAnsiTheme="majorBidi" w:cstheme="majorBidi"/>
          <w:b/>
          <w:bCs/>
          <w:sz w:val="20"/>
          <w:szCs w:val="20"/>
        </w:rPr>
      </w:pPr>
      <w:r>
        <w:rPr>
          <w:rFonts w:asciiTheme="majorBidi" w:hAnsiTheme="majorBidi" w:cstheme="majorBidi"/>
          <w:b/>
          <w:bCs/>
          <w:sz w:val="20"/>
          <w:szCs w:val="20"/>
        </w:rPr>
        <w:t xml:space="preserve">General Discussion </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The aim of this thesis was to explore the role of betaglycan as a potential regulator of TGF-β signalling in the kidney. It has been found that betaglycan has been expressed by human PTC in culture either without stimulation or when PTC stimulated at the level of the mRNA or at protein level and this could be inducible by the cytokines namely IL-1, IL-6 and TGF-β, this emphasises the potential importance of betaglycan in PTC (Proximal tubular cells) as a contributor  to the pathogenesis of renal fibrosis either by alteration of extracellular matrix or by production of  profibrotic cytokines such as IL-1, IL-6 and TGF-β.  These cytokines have significant cell interaction with betaglycan and its activation, and therefore provide different degrees of expression.</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Since HK2 cells express betaglycan, so do the cytokines (IL-1, IL-6 and TGF-β), this result supports the </w:t>
      </w:r>
      <w:r w:rsidRPr="007F7899">
        <w:rPr>
          <w:rFonts w:asciiTheme="majorBidi" w:hAnsiTheme="majorBidi" w:cstheme="majorBidi"/>
          <w:sz w:val="20"/>
          <w:szCs w:val="20"/>
        </w:rPr>
        <w:lastRenderedPageBreak/>
        <w:t xml:space="preserve">argument that betaglycan expression is essential for optimal TGF-beta signalling. These have been proved by Conventional PCR and confirmed by Q-PCR where betaglycan has shown a maximum expression during 24 hours.  Other cells such as colon goblet cells express normal levels of betaglycan protein </w:t>
      </w:r>
      <w:r w:rsidR="005E1613" w:rsidRPr="007F7899">
        <w:rPr>
          <w:rFonts w:asciiTheme="majorBidi" w:hAnsiTheme="majorBidi" w:cstheme="majorBidi"/>
          <w:sz w:val="20"/>
          <w:szCs w:val="20"/>
        </w:rPr>
        <w:t>[5</w:t>
      </w:r>
      <w:r w:rsidR="00AB2290" w:rsidRPr="007F7899">
        <w:rPr>
          <w:rFonts w:asciiTheme="majorBidi" w:hAnsiTheme="majorBidi" w:cstheme="majorBidi"/>
          <w:sz w:val="20"/>
          <w:szCs w:val="20"/>
        </w:rPr>
        <w:t>5</w:t>
      </w:r>
      <w:r w:rsidR="00FC0853"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Cardiac endothelial cells that undergo epithelial-mesenchymal transformation express betaglycan </w:t>
      </w:r>
      <w:r w:rsidR="005E1613" w:rsidRPr="007F7899">
        <w:rPr>
          <w:rFonts w:asciiTheme="majorBidi" w:hAnsiTheme="majorBidi" w:cstheme="majorBidi"/>
          <w:sz w:val="20"/>
          <w:szCs w:val="20"/>
        </w:rPr>
        <w:t>[5</w:t>
      </w:r>
      <w:r w:rsidR="00AB2290" w:rsidRPr="007F7899">
        <w:rPr>
          <w:rFonts w:asciiTheme="majorBidi" w:hAnsiTheme="majorBidi" w:cstheme="majorBidi"/>
          <w:sz w:val="20"/>
          <w:szCs w:val="20"/>
        </w:rPr>
        <w:t>6</w:t>
      </w:r>
      <w:r w:rsidR="00FC0853"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Now this has also been seen with HK2 cells of the kidney. On the other hand, instead of expression, betaglycan can be knocked-down by betaglycan siRNA transfection or interference with its heparin sulphate composition, which considered to be as a beneficial effect of betaglycan, an example of that was in treating fibrosis as its knock-down reduce TGF-β expression in mediating fibrosis. </w:t>
      </w:r>
      <w:proofErr w:type="gramStart"/>
      <w:r w:rsidRPr="007F7899">
        <w:rPr>
          <w:rFonts w:asciiTheme="majorBidi" w:hAnsiTheme="majorBidi" w:cstheme="majorBidi"/>
          <w:sz w:val="20"/>
          <w:szCs w:val="20"/>
        </w:rPr>
        <w:t xml:space="preserve">Another example where it inhibits the fibrous airway obliteration in a rat model of Bronchiolitis obliteran </w:t>
      </w:r>
      <w:r w:rsidR="005E1613" w:rsidRPr="007F7899">
        <w:rPr>
          <w:rFonts w:asciiTheme="majorBidi" w:hAnsiTheme="majorBidi" w:cstheme="majorBidi"/>
          <w:sz w:val="20"/>
          <w:szCs w:val="20"/>
        </w:rPr>
        <w:t>[5</w:t>
      </w:r>
      <w:r w:rsidR="00AB2290" w:rsidRPr="007F7899">
        <w:rPr>
          <w:rFonts w:asciiTheme="majorBidi" w:hAnsiTheme="majorBidi" w:cstheme="majorBidi"/>
          <w:sz w:val="20"/>
          <w:szCs w:val="20"/>
        </w:rPr>
        <w:t>7</w:t>
      </w:r>
      <w:r w:rsidR="00FC0853" w:rsidRPr="007F7899">
        <w:rPr>
          <w:rFonts w:asciiTheme="majorBidi" w:hAnsiTheme="majorBidi" w:cstheme="majorBidi"/>
          <w:sz w:val="20"/>
          <w:szCs w:val="20"/>
        </w:rPr>
        <w:t>].</w:t>
      </w:r>
      <w:proofErr w:type="gramEnd"/>
      <w:r w:rsidR="00FC0853"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Furthermore, betaglycan knock-down is resulted in decreased growth and motility of human breast cancer, both in vitro and in vivo </w:t>
      </w:r>
      <w:r w:rsidR="005E1613" w:rsidRPr="007F7899">
        <w:rPr>
          <w:rFonts w:asciiTheme="majorBidi" w:hAnsiTheme="majorBidi" w:cstheme="majorBidi"/>
          <w:sz w:val="20"/>
          <w:szCs w:val="20"/>
        </w:rPr>
        <w:t>[5</w:t>
      </w:r>
      <w:r w:rsidR="00AB2290" w:rsidRPr="007F7899">
        <w:rPr>
          <w:rFonts w:asciiTheme="majorBidi" w:hAnsiTheme="majorBidi" w:cstheme="majorBidi"/>
          <w:sz w:val="20"/>
          <w:szCs w:val="20"/>
        </w:rPr>
        <w:t>8</w:t>
      </w:r>
      <w:r w:rsidR="00FC0853" w:rsidRPr="007F7899">
        <w:rPr>
          <w:rFonts w:asciiTheme="majorBidi" w:hAnsiTheme="majorBidi" w:cstheme="majorBidi"/>
          <w:sz w:val="20"/>
          <w:szCs w:val="20"/>
        </w:rPr>
        <w:t xml:space="preserve">]. </w:t>
      </w:r>
      <w:r w:rsidRPr="007F7899">
        <w:rPr>
          <w:rFonts w:asciiTheme="majorBidi" w:hAnsiTheme="majorBidi" w:cstheme="majorBidi"/>
          <w:sz w:val="20"/>
          <w:szCs w:val="20"/>
        </w:rPr>
        <w:t>This knock-down has been determined at what time that can be best achieved.</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 It has been shown that betaglycan was necessary for mediating TGF-β1 signalling through Smad 3 phosphorylation and that heparan sulphate was also crucial for TGF-β1.  It was also demonstrated that the TGF-β1 induced change in phenotype depended on betaglycan expression and heparan sulphate synthesis.</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On the opposite angle of the scale, loss of betaglycan contributes to the pathogenesis of GCTs (Granulosa cell tumour), </w:t>
      </w:r>
      <w:r w:rsidR="005E1613" w:rsidRPr="007F7899">
        <w:rPr>
          <w:rFonts w:asciiTheme="majorBidi" w:hAnsiTheme="majorBidi" w:cstheme="majorBidi"/>
          <w:sz w:val="20"/>
          <w:szCs w:val="20"/>
        </w:rPr>
        <w:t>[56</w:t>
      </w:r>
      <w:r w:rsidR="006C2C54"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and other cancers. Defining the physiological function and mechanism of betaglycan action and alterations in betaglycan activity during cancer progression should allow more effective targeting of betaglycan and betaglycan mediated functions for the diagnosis and treatment of human cancer </w:t>
      </w:r>
      <w:r w:rsidR="005E1613" w:rsidRPr="007F7899">
        <w:rPr>
          <w:rFonts w:asciiTheme="majorBidi" w:hAnsiTheme="majorBidi" w:cstheme="majorBidi"/>
          <w:sz w:val="20"/>
          <w:szCs w:val="20"/>
        </w:rPr>
        <w:t>[5</w:t>
      </w:r>
      <w:r w:rsidR="00AB2290" w:rsidRPr="007F7899">
        <w:rPr>
          <w:rFonts w:asciiTheme="majorBidi" w:hAnsiTheme="majorBidi" w:cstheme="majorBidi"/>
          <w:sz w:val="20"/>
          <w:szCs w:val="20"/>
        </w:rPr>
        <w:t>9</w:t>
      </w:r>
      <w:r w:rsidR="006C2C54"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Betaglycan might play a prominent role in development and progression </w:t>
      </w:r>
      <w:proofErr w:type="gramStart"/>
      <w:r w:rsidRPr="007F7899">
        <w:rPr>
          <w:rFonts w:asciiTheme="majorBidi" w:hAnsiTheme="majorBidi" w:cstheme="majorBidi"/>
          <w:sz w:val="20"/>
          <w:szCs w:val="20"/>
        </w:rPr>
        <w:t>of  NSCLC</w:t>
      </w:r>
      <w:proofErr w:type="gramEnd"/>
      <w:r w:rsidRPr="007F7899">
        <w:rPr>
          <w:rFonts w:asciiTheme="majorBidi" w:hAnsiTheme="majorBidi" w:cstheme="majorBidi"/>
          <w:sz w:val="20"/>
          <w:szCs w:val="20"/>
        </w:rPr>
        <w:t xml:space="preserve"> (non-small cell lung cancer) and correlate with NSCLC invasion and migration as its expression observed to be reduced </w:t>
      </w:r>
      <w:r w:rsidR="00AB2290" w:rsidRPr="007F7899">
        <w:rPr>
          <w:rFonts w:asciiTheme="majorBidi" w:hAnsiTheme="majorBidi" w:cstheme="majorBidi"/>
          <w:sz w:val="20"/>
          <w:szCs w:val="20"/>
        </w:rPr>
        <w:t>[60</w:t>
      </w:r>
      <w:r w:rsidR="006C2C54" w:rsidRPr="007F7899">
        <w:rPr>
          <w:rFonts w:asciiTheme="majorBidi" w:hAnsiTheme="majorBidi" w:cstheme="majorBidi"/>
          <w:sz w:val="20"/>
          <w:szCs w:val="20"/>
        </w:rPr>
        <w:t>].</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proofErr w:type="gramStart"/>
      <w:r w:rsidRPr="007F7899">
        <w:rPr>
          <w:rFonts w:asciiTheme="majorBidi" w:hAnsiTheme="majorBidi" w:cstheme="majorBidi"/>
          <w:sz w:val="20"/>
          <w:szCs w:val="20"/>
        </w:rPr>
        <w:t>Human  betaglycan</w:t>
      </w:r>
      <w:proofErr w:type="gramEnd"/>
      <w:r w:rsidRPr="007F7899">
        <w:rPr>
          <w:rFonts w:asciiTheme="majorBidi" w:hAnsiTheme="majorBidi" w:cstheme="majorBidi"/>
          <w:sz w:val="20"/>
          <w:szCs w:val="20"/>
        </w:rPr>
        <w:t xml:space="preserve"> mRNA is negatively regulated by TGF-β1 in ovarian and breast cancer cells. This regulation is dependent on TβRI/</w:t>
      </w:r>
      <w:proofErr w:type="gramStart"/>
      <w:r w:rsidRPr="007F7899">
        <w:rPr>
          <w:rFonts w:asciiTheme="majorBidi" w:hAnsiTheme="majorBidi" w:cstheme="majorBidi"/>
          <w:sz w:val="20"/>
          <w:szCs w:val="20"/>
        </w:rPr>
        <w:t>ALK5(</w:t>
      </w:r>
      <w:proofErr w:type="gramEnd"/>
      <w:r w:rsidRPr="007F7899">
        <w:rPr>
          <w:rFonts w:asciiTheme="majorBidi" w:hAnsiTheme="majorBidi" w:cstheme="majorBidi"/>
          <w:sz w:val="20"/>
          <w:szCs w:val="20"/>
        </w:rPr>
        <w:t xml:space="preserve">ALK5 = TGF-β receptor gene) and occurs at the transcriptional level on the betaglycan gene </w:t>
      </w:r>
      <w:r w:rsidR="009F3BA5" w:rsidRPr="007F7899">
        <w:rPr>
          <w:rFonts w:asciiTheme="majorBidi" w:hAnsiTheme="majorBidi" w:cstheme="majorBidi"/>
          <w:sz w:val="20"/>
          <w:szCs w:val="20"/>
        </w:rPr>
        <w:t>[58</w:t>
      </w:r>
      <w:r w:rsidR="00870542"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Loss of betaglycan expression can </w:t>
      </w:r>
      <w:proofErr w:type="gramStart"/>
      <w:r w:rsidRPr="007F7899">
        <w:rPr>
          <w:rFonts w:asciiTheme="majorBidi" w:hAnsiTheme="majorBidi" w:cstheme="majorBidi"/>
          <w:sz w:val="20"/>
          <w:szCs w:val="20"/>
        </w:rPr>
        <w:t>cause  ovarian</w:t>
      </w:r>
      <w:proofErr w:type="gramEnd"/>
      <w:r w:rsidRPr="007F7899">
        <w:rPr>
          <w:rFonts w:asciiTheme="majorBidi" w:hAnsiTheme="majorBidi" w:cstheme="majorBidi"/>
          <w:sz w:val="20"/>
          <w:szCs w:val="20"/>
        </w:rPr>
        <w:t xml:space="preserve"> and other cancers, this seems to be due, at least in part, to genetic silencing </w:t>
      </w:r>
      <w:r w:rsidR="00C7545E" w:rsidRPr="007F7899">
        <w:rPr>
          <w:rFonts w:asciiTheme="majorBidi" w:hAnsiTheme="majorBidi" w:cstheme="majorBidi"/>
          <w:sz w:val="20"/>
          <w:szCs w:val="20"/>
        </w:rPr>
        <w:t>[5</w:t>
      </w:r>
      <w:r w:rsidR="005E1613" w:rsidRPr="007F7899">
        <w:rPr>
          <w:rFonts w:asciiTheme="majorBidi" w:hAnsiTheme="majorBidi" w:cstheme="majorBidi"/>
          <w:sz w:val="20"/>
          <w:szCs w:val="20"/>
        </w:rPr>
        <w:t>9</w:t>
      </w:r>
      <w:r w:rsidR="00870542" w:rsidRPr="007F7899">
        <w:rPr>
          <w:rFonts w:asciiTheme="majorBidi" w:hAnsiTheme="majorBidi" w:cstheme="majorBidi"/>
          <w:sz w:val="20"/>
          <w:szCs w:val="20"/>
        </w:rPr>
        <w:t xml:space="preserve">]. </w:t>
      </w:r>
      <w:r w:rsidRPr="007F7899">
        <w:rPr>
          <w:rFonts w:asciiTheme="majorBidi" w:hAnsiTheme="majorBidi" w:cstheme="majorBidi"/>
          <w:sz w:val="20"/>
          <w:szCs w:val="20"/>
        </w:rPr>
        <w:t>Furthermore, betaglycan expression is frequently decreased or lost in human cancers (i.e. 65% of breast cancers and 60% of prostate cancers).</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An oncogenic role for betaglycan in human breast cancer cells and mouse mammary tumour cells has been shown by Knock-down of betaglycan in these cells and it resulted in decreased growth and motility, both in vitro and in vivo</w:t>
      </w:r>
      <w:r w:rsidR="00AB2290" w:rsidRPr="007F7899">
        <w:rPr>
          <w:rFonts w:asciiTheme="majorBidi" w:hAnsiTheme="majorBidi" w:cstheme="majorBidi"/>
          <w:sz w:val="20"/>
          <w:szCs w:val="20"/>
        </w:rPr>
        <w:t xml:space="preserve"> [61</w:t>
      </w:r>
      <w:r w:rsidR="00870542" w:rsidRPr="007F7899">
        <w:rPr>
          <w:rFonts w:asciiTheme="majorBidi" w:hAnsiTheme="majorBidi" w:cstheme="majorBidi"/>
          <w:sz w:val="20"/>
          <w:szCs w:val="20"/>
        </w:rPr>
        <w:t>].</w:t>
      </w:r>
      <w:r w:rsidRPr="007F7899">
        <w:rPr>
          <w:rFonts w:asciiTheme="majorBidi" w:hAnsiTheme="majorBidi" w:cstheme="majorBidi"/>
          <w:sz w:val="20"/>
          <w:szCs w:val="20"/>
        </w:rPr>
        <w:t xml:space="preserve"> Betaglycan suppresses cancer progression, in part, by reducing cancer cell motility, this betaglycan function is independent of its betaglycan signalling role, but with betaglycan activating Cdc42 via its interaction with the scaffolding protein beta-arrestin 2 to re-organize the actin cytoskeleton, reduce directional persistence and prevent random migration in both epithelial-derived cancer ce</w:t>
      </w:r>
      <w:r w:rsidR="002A2E01" w:rsidRPr="007F7899">
        <w:rPr>
          <w:rFonts w:asciiTheme="majorBidi" w:hAnsiTheme="majorBidi" w:cstheme="majorBidi"/>
          <w:sz w:val="20"/>
          <w:szCs w:val="20"/>
        </w:rPr>
        <w:t>lls and normal ep</w:t>
      </w:r>
      <w:r w:rsidR="00AB2290" w:rsidRPr="007F7899">
        <w:rPr>
          <w:rFonts w:asciiTheme="majorBidi" w:hAnsiTheme="majorBidi" w:cstheme="majorBidi"/>
          <w:sz w:val="20"/>
          <w:szCs w:val="20"/>
        </w:rPr>
        <w:t>ithelial cells [62</w:t>
      </w:r>
      <w:r w:rsidR="002A2E01" w:rsidRPr="007F7899">
        <w:rPr>
          <w:rFonts w:asciiTheme="majorBidi" w:hAnsiTheme="majorBidi" w:cstheme="majorBidi"/>
          <w:sz w:val="20"/>
          <w:szCs w:val="20"/>
        </w:rPr>
        <w:t>].</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Decreased betaglycan expression could be one of the most common mechanisms for T</w:t>
      </w:r>
      <w:r w:rsidR="002A2E01" w:rsidRPr="007F7899">
        <w:rPr>
          <w:rFonts w:asciiTheme="majorBidi" w:hAnsiTheme="majorBidi" w:cstheme="majorBidi"/>
          <w:sz w:val="20"/>
          <w:szCs w:val="20"/>
        </w:rPr>
        <w:t xml:space="preserve">GFβ resistance in human cancers. </w:t>
      </w:r>
      <w:r w:rsidRPr="007F7899">
        <w:rPr>
          <w:rFonts w:asciiTheme="majorBidi" w:hAnsiTheme="majorBidi" w:cstheme="majorBidi"/>
          <w:sz w:val="20"/>
          <w:szCs w:val="20"/>
        </w:rPr>
        <w:t xml:space="preserve">Importantly, increasing or restoring expression of betaglycan in these cancer models decreases cancer cell motility and invasion in vitro and angiogenesis, invasion, and metastasis in vivo </w:t>
      </w:r>
      <w:r w:rsidR="00AB2290" w:rsidRPr="007F7899">
        <w:rPr>
          <w:rFonts w:asciiTheme="majorBidi" w:hAnsiTheme="majorBidi" w:cstheme="majorBidi"/>
          <w:sz w:val="20"/>
          <w:szCs w:val="20"/>
        </w:rPr>
        <w:t>[63</w:t>
      </w:r>
      <w:r w:rsidR="00654A0A" w:rsidRPr="007F7899">
        <w:rPr>
          <w:rFonts w:asciiTheme="majorBidi" w:hAnsiTheme="majorBidi" w:cstheme="majorBidi"/>
          <w:sz w:val="20"/>
          <w:szCs w:val="20"/>
        </w:rPr>
        <w:t>].</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On the other hand, </w:t>
      </w:r>
      <w:proofErr w:type="gramStart"/>
      <w:r w:rsidRPr="007F7899">
        <w:rPr>
          <w:rFonts w:asciiTheme="majorBidi" w:hAnsiTheme="majorBidi" w:cstheme="majorBidi"/>
          <w:sz w:val="20"/>
          <w:szCs w:val="20"/>
        </w:rPr>
        <w:t>betaglycan,</w:t>
      </w:r>
      <w:proofErr w:type="gramEnd"/>
      <w:r w:rsidRPr="007F7899">
        <w:rPr>
          <w:rFonts w:asciiTheme="majorBidi" w:hAnsiTheme="majorBidi" w:cstheme="majorBidi"/>
          <w:sz w:val="20"/>
          <w:szCs w:val="20"/>
        </w:rPr>
        <w:t xml:space="preserve"> is a widely expressed heparan and chondroitin sulfate proteoglycan that binds </w:t>
      </w:r>
      <w:r w:rsidRPr="007F7899">
        <w:rPr>
          <w:rFonts w:asciiTheme="majorBidi" w:hAnsiTheme="majorBidi" w:cstheme="majorBidi"/>
          <w:sz w:val="20"/>
          <w:szCs w:val="20"/>
        </w:rPr>
        <w:lastRenderedPageBreak/>
        <w:t xml:space="preserve">TGF-β with high affinity through its protein core. Changing glycoslation of betaglycan can be achieved by p-nitrophenyl-β-D-xylopyrinoside treatment.  It does not affect the protein levels of TβR-I binding TβR-II in Mv1Lu cells by Western blot analysis.  Heparan sulphate however negatively modulates TGF-β by decreasing the ratio of TGF-β1 binding to TβR-II and TβR-I </w:t>
      </w:r>
      <w:r w:rsidR="00AB2290" w:rsidRPr="007F7899">
        <w:rPr>
          <w:rFonts w:asciiTheme="majorBidi" w:hAnsiTheme="majorBidi" w:cstheme="majorBidi"/>
          <w:sz w:val="20"/>
          <w:szCs w:val="20"/>
        </w:rPr>
        <w:t>[</w:t>
      </w:r>
      <w:proofErr w:type="gramStart"/>
      <w:r w:rsidR="00AB2290" w:rsidRPr="007F7899">
        <w:rPr>
          <w:rFonts w:asciiTheme="majorBidi" w:hAnsiTheme="majorBidi" w:cstheme="majorBidi"/>
          <w:sz w:val="20"/>
          <w:szCs w:val="20"/>
        </w:rPr>
        <w:t>64</w:t>
      </w:r>
      <w:r w:rsidR="00946BB6" w:rsidRPr="007F7899">
        <w:rPr>
          <w:rFonts w:asciiTheme="majorBidi" w:hAnsiTheme="majorBidi" w:cstheme="majorBidi"/>
          <w:sz w:val="20"/>
          <w:szCs w:val="20"/>
        </w:rPr>
        <w:t xml:space="preserve"> </w:t>
      </w:r>
      <w:r w:rsidR="00654A0A" w:rsidRPr="007F7899">
        <w:rPr>
          <w:rFonts w:asciiTheme="majorBidi" w:hAnsiTheme="majorBidi" w:cstheme="majorBidi"/>
          <w:sz w:val="20"/>
          <w:szCs w:val="20"/>
        </w:rPr>
        <w:t>]</w:t>
      </w:r>
      <w:proofErr w:type="gramEnd"/>
      <w:r w:rsidR="00654A0A"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In HK2 cells, the Luciferase reporter assay, revealed that P-nitrophenyl-β-D-xylopyranoside brought up TGF-β </w:t>
      </w:r>
      <w:proofErr w:type="gramStart"/>
      <w:r w:rsidRPr="007F7899">
        <w:rPr>
          <w:rFonts w:asciiTheme="majorBidi" w:hAnsiTheme="majorBidi" w:cstheme="majorBidi"/>
          <w:sz w:val="20"/>
          <w:szCs w:val="20"/>
        </w:rPr>
        <w:t>induced  luminescence</w:t>
      </w:r>
      <w:proofErr w:type="gramEnd"/>
      <w:r w:rsidRPr="007F7899">
        <w:rPr>
          <w:rFonts w:asciiTheme="majorBidi" w:hAnsiTheme="majorBidi" w:cstheme="majorBidi"/>
          <w:sz w:val="20"/>
          <w:szCs w:val="20"/>
        </w:rPr>
        <w:t xml:space="preserve"> and led to TGF-β up-regulation. This implies that inhibition of betaglycan heparan sulphate by P-nitrophenyl-β-D-xylopyranoside affects TGF-β signalling.</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All of these affect the TGF-β signalling function of HK2 cells of the kidney in terms of physical and biochemical function as TGF-β protein expression of its signalling has already been changed, and this shows the link between betaglycan and TGF-β. </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Although normally membrane anchored, betaglycan can undergo proteolytic processing in vivo resulting in the secretion of a soluble ectodomain.  This ectodomain can both enhance and inhibit signalling depending on the concentration of TGF-β1 present, although in most circumstances it is believed to bind and sequester TGF-β, functioning as a receptor antagonist. In the kidney, these effects have reduced renal damage progression. This emphasises that the relationship between betaglycan and TGF-β1 signalling is complicated because the former has shown different regulatory mechanisms upon TGF-β action. </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It was believed that SBG (Soluble betaglyccan) shall prove convenient for long-term treatment of kidney diseases and other pathologies in which TGF-β plays a pathophysiological role </w:t>
      </w:r>
      <w:r w:rsidR="00AB2290" w:rsidRPr="007F7899">
        <w:rPr>
          <w:rFonts w:asciiTheme="majorBidi" w:hAnsiTheme="majorBidi" w:cstheme="majorBidi"/>
          <w:sz w:val="20"/>
          <w:szCs w:val="20"/>
        </w:rPr>
        <w:t>[65</w:t>
      </w:r>
      <w:r w:rsidR="00654A0A"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Soluble betaglycan, which is produced by the shedding of the membrane-bound receptor, is a potent antagonist of TGF-β. </w:t>
      </w:r>
      <w:proofErr w:type="gramStart"/>
      <w:r w:rsidRPr="007F7899">
        <w:rPr>
          <w:rFonts w:asciiTheme="majorBidi" w:hAnsiTheme="majorBidi" w:cstheme="majorBidi"/>
          <w:sz w:val="20"/>
          <w:szCs w:val="20"/>
        </w:rPr>
        <w:t>inhibitory</w:t>
      </w:r>
      <w:proofErr w:type="gramEnd"/>
      <w:r w:rsidRPr="007F7899">
        <w:rPr>
          <w:rFonts w:asciiTheme="majorBidi" w:hAnsiTheme="majorBidi" w:cstheme="majorBidi"/>
          <w:sz w:val="20"/>
          <w:szCs w:val="20"/>
        </w:rPr>
        <w:t xml:space="preserve">, but as tumorigenesis progresses, TGF-β becomes prometastatic </w:t>
      </w:r>
      <w:r w:rsidR="00AB2290" w:rsidRPr="007F7899">
        <w:rPr>
          <w:rFonts w:asciiTheme="majorBidi" w:hAnsiTheme="majorBidi" w:cstheme="majorBidi"/>
          <w:sz w:val="20"/>
          <w:szCs w:val="20"/>
        </w:rPr>
        <w:t>[66</w:t>
      </w:r>
      <w:r w:rsidR="00654A0A" w:rsidRPr="007F7899">
        <w:rPr>
          <w:rFonts w:asciiTheme="majorBidi" w:hAnsiTheme="majorBidi" w:cstheme="majorBidi"/>
          <w:sz w:val="20"/>
          <w:szCs w:val="20"/>
        </w:rPr>
        <w:t>].</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In this thesis, experiments and results </w:t>
      </w:r>
      <w:proofErr w:type="gramStart"/>
      <w:r w:rsidRPr="007F7899">
        <w:rPr>
          <w:rFonts w:asciiTheme="majorBidi" w:hAnsiTheme="majorBidi" w:cstheme="majorBidi"/>
          <w:sz w:val="20"/>
          <w:szCs w:val="20"/>
        </w:rPr>
        <w:t>of  betaglycan</w:t>
      </w:r>
      <w:proofErr w:type="gramEnd"/>
      <w:r w:rsidRPr="007F7899">
        <w:rPr>
          <w:rFonts w:asciiTheme="majorBidi" w:hAnsiTheme="majorBidi" w:cstheme="majorBidi"/>
          <w:sz w:val="20"/>
          <w:szCs w:val="20"/>
        </w:rPr>
        <w:t xml:space="preserve"> mRNA and core protein were knocked-down and this alteration has a role in HK2 cells transition or transformation in terms of minimal loss of  expression of the epithelial marker E</w:t>
      </w:r>
      <w:r w:rsidRPr="007F7899">
        <w:rPr>
          <w:rFonts w:ascii="Cambria Math" w:hAnsi="Cambria Math" w:cs="Cambria Math"/>
          <w:sz w:val="20"/>
          <w:szCs w:val="20"/>
        </w:rPr>
        <w:t>‐</w:t>
      </w:r>
      <w:r w:rsidRPr="007F7899">
        <w:rPr>
          <w:rFonts w:asciiTheme="majorBidi" w:hAnsiTheme="majorBidi" w:cstheme="majorBidi"/>
          <w:sz w:val="20"/>
          <w:szCs w:val="20"/>
        </w:rPr>
        <w:t>cadherin expression changes, and also mildly increased cytoskeletal proteins α</w:t>
      </w:r>
      <w:r w:rsidRPr="007F7899">
        <w:rPr>
          <w:rFonts w:ascii="Cambria Math" w:hAnsi="Cambria Math" w:cs="Cambria Math"/>
          <w:sz w:val="20"/>
          <w:szCs w:val="20"/>
        </w:rPr>
        <w:t>‐</w:t>
      </w:r>
      <w:r w:rsidRPr="007F7899">
        <w:rPr>
          <w:rFonts w:asciiTheme="majorBidi" w:hAnsiTheme="majorBidi" w:cstheme="majorBidi"/>
          <w:sz w:val="20"/>
          <w:szCs w:val="20"/>
        </w:rPr>
        <w:t>SMA (signs of EMT).</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Epithelial cells are typically characterized by intercellular adhesion complexes in their lateral membranes which enable them to be closely attached to each other and to form cell layers. They display an apico-basal polarity, and are separated by the basement membrane from </w:t>
      </w:r>
    </w:p>
    <w:p w:rsidR="00200366" w:rsidRPr="007F7899" w:rsidRDefault="00200366" w:rsidP="007F7899">
      <w:pPr>
        <w:widowControl w:val="0"/>
        <w:spacing w:before="100" w:beforeAutospacing="1" w:after="100" w:afterAutospacing="1" w:line="360" w:lineRule="auto"/>
        <w:jc w:val="both"/>
        <w:rPr>
          <w:rFonts w:asciiTheme="majorBidi" w:hAnsiTheme="majorBidi" w:cstheme="majorBidi"/>
          <w:sz w:val="20"/>
          <w:szCs w:val="20"/>
        </w:rPr>
      </w:pPr>
      <w:proofErr w:type="gramStart"/>
      <w:r w:rsidRPr="007F7899">
        <w:rPr>
          <w:rFonts w:asciiTheme="majorBidi" w:hAnsiTheme="majorBidi" w:cstheme="majorBidi"/>
          <w:sz w:val="20"/>
          <w:szCs w:val="20"/>
        </w:rPr>
        <w:t>other</w:t>
      </w:r>
      <w:proofErr w:type="gramEnd"/>
      <w:r w:rsidRPr="007F7899">
        <w:rPr>
          <w:rFonts w:asciiTheme="majorBidi" w:hAnsiTheme="majorBidi" w:cstheme="majorBidi"/>
          <w:sz w:val="20"/>
          <w:szCs w:val="20"/>
        </w:rPr>
        <w:t xml:space="preserve"> tissues in the body.</w:t>
      </w:r>
      <w:r w:rsidR="00117694" w:rsidRPr="007F7899">
        <w:rPr>
          <w:rFonts w:asciiTheme="majorBidi" w:hAnsiTheme="majorBidi" w:cstheme="majorBidi"/>
          <w:sz w:val="20"/>
          <w:szCs w:val="20"/>
        </w:rPr>
        <w:t xml:space="preserve"> </w:t>
      </w:r>
      <w:r w:rsidRPr="007F7899">
        <w:rPr>
          <w:rFonts w:asciiTheme="majorBidi" w:hAnsiTheme="majorBidi" w:cstheme="majorBidi"/>
          <w:sz w:val="20"/>
          <w:szCs w:val="20"/>
        </w:rPr>
        <w:t>In contrast to epithelial cells</w:t>
      </w:r>
      <w:proofErr w:type="gramStart"/>
      <w:r w:rsidRPr="007F7899">
        <w:rPr>
          <w:rFonts w:asciiTheme="majorBidi" w:hAnsiTheme="majorBidi" w:cstheme="majorBidi"/>
          <w:sz w:val="20"/>
          <w:szCs w:val="20"/>
        </w:rPr>
        <w:t>,  mesenchymal</w:t>
      </w:r>
      <w:proofErr w:type="gramEnd"/>
      <w:r w:rsidRPr="007F7899">
        <w:rPr>
          <w:rFonts w:asciiTheme="majorBidi" w:hAnsiTheme="majorBidi" w:cstheme="majorBidi"/>
          <w:sz w:val="20"/>
          <w:szCs w:val="20"/>
        </w:rPr>
        <w:t xml:space="preserve"> cells are capable of moving individually through the extracellular matrix since they lack intercellular junctions,and do not display an Apico</w:t>
      </w:r>
      <w:r w:rsidRPr="007F7899">
        <w:rPr>
          <w:rFonts w:ascii="Cambria Math" w:hAnsi="Cambria Math" w:cs="Cambria Math"/>
          <w:sz w:val="20"/>
          <w:szCs w:val="20"/>
        </w:rPr>
        <w:t>‐</w:t>
      </w:r>
      <w:r w:rsidRPr="007F7899">
        <w:rPr>
          <w:rFonts w:asciiTheme="majorBidi" w:hAnsiTheme="majorBidi" w:cstheme="majorBidi"/>
          <w:sz w:val="20"/>
          <w:szCs w:val="20"/>
        </w:rPr>
        <w:t xml:space="preserve">Basal-polarity </w:t>
      </w:r>
      <w:r w:rsidR="00AB2290" w:rsidRPr="007F7899">
        <w:rPr>
          <w:rFonts w:asciiTheme="majorBidi" w:hAnsiTheme="majorBidi" w:cstheme="majorBidi"/>
          <w:sz w:val="20"/>
          <w:szCs w:val="20"/>
        </w:rPr>
        <w:t>[67</w:t>
      </w:r>
      <w:r w:rsidR="005E178C" w:rsidRPr="007F7899">
        <w:rPr>
          <w:rFonts w:asciiTheme="majorBidi" w:hAnsiTheme="majorBidi" w:cstheme="majorBidi"/>
          <w:sz w:val="20"/>
          <w:szCs w:val="20"/>
        </w:rPr>
        <w:t>].</w:t>
      </w:r>
    </w:p>
    <w:p w:rsidR="00911496" w:rsidRPr="009901A2" w:rsidRDefault="00200366" w:rsidP="00AB0A80">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Cells that have undergone EMT reveal changes in their migratory capacity and responses to   external signals </w:t>
      </w:r>
      <w:r w:rsidR="003A7BF2" w:rsidRPr="007F7899">
        <w:rPr>
          <w:rFonts w:asciiTheme="majorBidi" w:hAnsiTheme="majorBidi" w:cstheme="majorBidi"/>
          <w:sz w:val="20"/>
          <w:szCs w:val="20"/>
        </w:rPr>
        <w:t>[6</w:t>
      </w:r>
      <w:r w:rsidR="00AB2290" w:rsidRPr="007F7899">
        <w:rPr>
          <w:rFonts w:asciiTheme="majorBidi" w:hAnsiTheme="majorBidi" w:cstheme="majorBidi"/>
          <w:sz w:val="20"/>
          <w:szCs w:val="20"/>
        </w:rPr>
        <w:t>8</w:t>
      </w:r>
      <w:r w:rsidR="005E178C"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Not only signalling function, but changes of function as well (EMT) as there was a down regulation of betaglycan, mild E-cadherin and α-sma changes, that might be attributed to the Inhibition of Smad2 </w:t>
      </w:r>
      <w:proofErr w:type="gramStart"/>
      <w:r w:rsidRPr="007F7899">
        <w:rPr>
          <w:rFonts w:asciiTheme="majorBidi" w:hAnsiTheme="majorBidi" w:cstheme="majorBidi"/>
          <w:sz w:val="20"/>
          <w:szCs w:val="20"/>
        </w:rPr>
        <w:t>expression  with</w:t>
      </w:r>
      <w:proofErr w:type="gramEnd"/>
      <w:r w:rsidRPr="007F7899">
        <w:rPr>
          <w:rFonts w:asciiTheme="majorBidi" w:hAnsiTheme="majorBidi" w:cstheme="majorBidi"/>
          <w:sz w:val="20"/>
          <w:szCs w:val="20"/>
        </w:rPr>
        <w:t xml:space="preserve"> a failure of TGF-β1 to increase α-SMA , confirming the involvement of this signalling in phenotypic activation </w:t>
      </w:r>
      <w:r w:rsidR="003A7BF2" w:rsidRPr="007F7899">
        <w:rPr>
          <w:rFonts w:asciiTheme="majorBidi" w:hAnsiTheme="majorBidi" w:cstheme="majorBidi"/>
          <w:sz w:val="20"/>
          <w:szCs w:val="20"/>
        </w:rPr>
        <w:t>[68</w:t>
      </w:r>
      <w:r w:rsidR="005E178C" w:rsidRPr="007F7899">
        <w:rPr>
          <w:rFonts w:asciiTheme="majorBidi" w:hAnsiTheme="majorBidi" w:cstheme="majorBidi"/>
          <w:sz w:val="20"/>
          <w:szCs w:val="20"/>
        </w:rPr>
        <w:t xml:space="preserve">]. </w:t>
      </w:r>
      <w:r w:rsidRPr="007F7899">
        <w:rPr>
          <w:rFonts w:asciiTheme="majorBidi" w:hAnsiTheme="majorBidi" w:cstheme="majorBidi"/>
          <w:sz w:val="20"/>
          <w:szCs w:val="20"/>
        </w:rPr>
        <w:t xml:space="preserve">In contrast, </w:t>
      </w:r>
      <w:proofErr w:type="gramStart"/>
      <w:r w:rsidRPr="007F7899">
        <w:rPr>
          <w:rFonts w:asciiTheme="majorBidi" w:hAnsiTheme="majorBidi" w:cstheme="majorBidi"/>
          <w:sz w:val="20"/>
          <w:szCs w:val="20"/>
        </w:rPr>
        <w:t>successful  knockdown</w:t>
      </w:r>
      <w:proofErr w:type="gramEnd"/>
      <w:r w:rsidRPr="007F7899">
        <w:rPr>
          <w:rFonts w:asciiTheme="majorBidi" w:hAnsiTheme="majorBidi" w:cstheme="majorBidi"/>
          <w:sz w:val="20"/>
          <w:szCs w:val="20"/>
        </w:rPr>
        <w:t xml:space="preserve"> of Smad3 using siRNA failed to have an impact on TGF-β1-</w:t>
      </w:r>
      <w:r w:rsidRPr="007F7899">
        <w:rPr>
          <w:rFonts w:asciiTheme="majorBidi" w:hAnsiTheme="majorBidi" w:cstheme="majorBidi"/>
          <w:sz w:val="20"/>
          <w:szCs w:val="20"/>
        </w:rPr>
        <w:lastRenderedPageBreak/>
        <w:t xml:space="preserve">mediated phenotypic differentiation </w:t>
      </w:r>
      <w:r w:rsidR="003A7BF2" w:rsidRPr="007F7899">
        <w:rPr>
          <w:rFonts w:asciiTheme="majorBidi" w:hAnsiTheme="majorBidi" w:cstheme="majorBidi"/>
          <w:sz w:val="20"/>
          <w:szCs w:val="20"/>
        </w:rPr>
        <w:t>[69</w:t>
      </w:r>
      <w:r w:rsidR="005E178C" w:rsidRPr="007F7899">
        <w:rPr>
          <w:rFonts w:asciiTheme="majorBidi" w:hAnsiTheme="majorBidi" w:cstheme="majorBidi"/>
          <w:sz w:val="20"/>
          <w:szCs w:val="20"/>
        </w:rPr>
        <w:t>].</w:t>
      </w:r>
      <w:r w:rsidR="00AB0A80">
        <w:rPr>
          <w:rFonts w:asciiTheme="majorBidi" w:hAnsiTheme="majorBidi" w:cstheme="majorBidi"/>
          <w:sz w:val="20"/>
          <w:szCs w:val="20"/>
        </w:rPr>
        <w:t xml:space="preserve"> </w:t>
      </w:r>
      <w:r w:rsidRPr="007F7899">
        <w:rPr>
          <w:rFonts w:asciiTheme="majorBidi" w:hAnsiTheme="majorBidi" w:cstheme="majorBidi"/>
          <w:sz w:val="20"/>
          <w:szCs w:val="20"/>
        </w:rPr>
        <w:t>In immortalised HK2 cells, PAI-1 expression decreased when betaglycan knocked-down and when TGF-β was applied, and PAI-1 expression increased; that might be attributed to the fact that PAI-1 has no relationship with betaglycan or PAI-1 has another pathway of action des</w:t>
      </w:r>
      <w:r w:rsidR="009901A2">
        <w:rPr>
          <w:rFonts w:asciiTheme="majorBidi" w:hAnsiTheme="majorBidi" w:cstheme="majorBidi"/>
          <w:sz w:val="20"/>
          <w:szCs w:val="20"/>
        </w:rPr>
        <w:t xml:space="preserve">pite being turned up by TGF-β. </w:t>
      </w:r>
    </w:p>
    <w:p w:rsidR="004517A1" w:rsidRPr="009901A2" w:rsidRDefault="009901A2" w:rsidP="009901A2">
      <w:pPr>
        <w:pStyle w:val="ListParagraph"/>
        <w:widowControl w:val="0"/>
        <w:numPr>
          <w:ilvl w:val="0"/>
          <w:numId w:val="5"/>
        </w:numPr>
        <w:spacing w:before="100" w:beforeAutospacing="1" w:after="100" w:afterAutospacing="1" w:line="360" w:lineRule="auto"/>
        <w:ind w:left="180" w:hanging="180"/>
        <w:jc w:val="both"/>
        <w:rPr>
          <w:rFonts w:asciiTheme="majorBidi" w:hAnsiTheme="majorBidi" w:cstheme="majorBidi"/>
          <w:b/>
          <w:bCs/>
          <w:sz w:val="20"/>
          <w:szCs w:val="20"/>
        </w:rPr>
      </w:pPr>
      <w:r>
        <w:rPr>
          <w:rFonts w:asciiTheme="majorBidi" w:hAnsiTheme="majorBidi" w:cstheme="majorBidi"/>
          <w:b/>
          <w:bCs/>
          <w:sz w:val="20"/>
          <w:szCs w:val="20"/>
        </w:rPr>
        <w:t xml:space="preserve">Limitations </w:t>
      </w:r>
    </w:p>
    <w:p w:rsidR="00911496" w:rsidRPr="009901A2" w:rsidRDefault="00200366" w:rsidP="00AB0A80">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There </w:t>
      </w:r>
      <w:proofErr w:type="gramStart"/>
      <w:r w:rsidRPr="007F7899">
        <w:rPr>
          <w:rFonts w:asciiTheme="majorBidi" w:hAnsiTheme="majorBidi" w:cstheme="majorBidi"/>
          <w:sz w:val="20"/>
          <w:szCs w:val="20"/>
        </w:rPr>
        <w:t>are  some</w:t>
      </w:r>
      <w:proofErr w:type="gramEnd"/>
      <w:r w:rsidRPr="007F7899">
        <w:rPr>
          <w:rFonts w:asciiTheme="majorBidi" w:hAnsiTheme="majorBidi" w:cstheme="majorBidi"/>
          <w:sz w:val="20"/>
          <w:szCs w:val="20"/>
        </w:rPr>
        <w:t xml:space="preserve"> limitations in this </w:t>
      </w:r>
      <w:r w:rsidR="004517A1" w:rsidRPr="007F7899">
        <w:rPr>
          <w:rFonts w:asciiTheme="majorBidi" w:hAnsiTheme="majorBidi" w:cstheme="majorBidi"/>
          <w:sz w:val="20"/>
          <w:szCs w:val="20"/>
        </w:rPr>
        <w:t xml:space="preserve">work </w:t>
      </w:r>
      <w:r w:rsidRPr="007F7899">
        <w:rPr>
          <w:rFonts w:asciiTheme="majorBidi" w:hAnsiTheme="majorBidi" w:cstheme="majorBidi"/>
          <w:sz w:val="20"/>
          <w:szCs w:val="20"/>
        </w:rPr>
        <w:t>whi</w:t>
      </w:r>
      <w:r w:rsidR="00AB0A80">
        <w:rPr>
          <w:rFonts w:asciiTheme="majorBidi" w:hAnsiTheme="majorBidi" w:cstheme="majorBidi"/>
          <w:sz w:val="20"/>
          <w:szCs w:val="20"/>
        </w:rPr>
        <w:t>ch must be taken into account</w:t>
      </w:r>
      <w:r w:rsidR="00911496" w:rsidRPr="007F7899">
        <w:rPr>
          <w:rFonts w:asciiTheme="majorBidi" w:hAnsiTheme="majorBidi" w:cstheme="majorBidi"/>
          <w:sz w:val="20"/>
          <w:szCs w:val="20"/>
        </w:rPr>
        <w:t>:</w:t>
      </w:r>
      <w:r w:rsidRPr="007F7899">
        <w:rPr>
          <w:rFonts w:asciiTheme="majorBidi" w:hAnsiTheme="majorBidi" w:cstheme="majorBidi"/>
          <w:sz w:val="20"/>
          <w:szCs w:val="20"/>
        </w:rPr>
        <w:t xml:space="preserve"> Firstly, p-nitrophenyl-β-D-xylopyrinoside analysis has been used to suppress betaglycan heparan sulphate, and this action is not specific for betaglycan as it might inhibit all heparan of other structures (off target). This will have an impact on the result of the experiment as heparan sulphate</w:t>
      </w:r>
      <w:r w:rsidR="00E8171E">
        <w:rPr>
          <w:rFonts w:asciiTheme="majorBidi" w:hAnsiTheme="majorBidi" w:cstheme="majorBidi"/>
          <w:sz w:val="20"/>
          <w:szCs w:val="20"/>
        </w:rPr>
        <w:t xml:space="preserve"> inhibition might be incomplete</w:t>
      </w:r>
      <w:r w:rsidRPr="007F7899">
        <w:rPr>
          <w:rFonts w:asciiTheme="majorBidi" w:hAnsiTheme="majorBidi" w:cstheme="majorBidi"/>
          <w:sz w:val="20"/>
          <w:szCs w:val="20"/>
        </w:rPr>
        <w:t>Secondly, soluble betaglycan has not been studied in thi</w:t>
      </w:r>
      <w:r w:rsidR="00117694" w:rsidRPr="007F7899">
        <w:rPr>
          <w:rFonts w:asciiTheme="majorBidi" w:hAnsiTheme="majorBidi" w:cstheme="majorBidi"/>
          <w:sz w:val="20"/>
          <w:szCs w:val="20"/>
        </w:rPr>
        <w:t>s work</w:t>
      </w:r>
      <w:r w:rsidRPr="007F7899">
        <w:rPr>
          <w:rFonts w:asciiTheme="majorBidi" w:hAnsiTheme="majorBidi" w:cstheme="majorBidi"/>
          <w:sz w:val="20"/>
          <w:szCs w:val="20"/>
        </w:rPr>
        <w:t>, and if we did, there would have been many results arising from the association of both soluble as well as membranous portion of betaglycan, both of which could have resulted in further action on TGF-β, the SBG sequester TGF-β while the membranous part heparan sulphate acts as a reservoir of ligand for TGF-beta receptors.</w:t>
      </w:r>
      <w:r w:rsidR="00911496" w:rsidRPr="007F7899">
        <w:rPr>
          <w:rFonts w:asciiTheme="majorBidi" w:hAnsiTheme="majorBidi" w:cstheme="majorBidi"/>
          <w:sz w:val="20"/>
          <w:szCs w:val="20"/>
        </w:rPr>
        <w:t>Thirdly, this work</w:t>
      </w:r>
      <w:r w:rsidRPr="007F7899">
        <w:rPr>
          <w:rFonts w:asciiTheme="majorBidi" w:hAnsiTheme="majorBidi" w:cstheme="majorBidi"/>
          <w:sz w:val="20"/>
          <w:szCs w:val="20"/>
        </w:rPr>
        <w:t xml:space="preserve"> used immortalized HK2 cells as a predictor of renal fibrosis, but the other predictor of outcome in the kidney, regardless of disease aetiology, is the presence of myofibroblasts which was not studied.  Finally, this work also needs to be applied to and practiced in animal research to get the best results, as the HK2 cells have been grown in their normal environment and could express any ch</w:t>
      </w:r>
      <w:r w:rsidR="009901A2">
        <w:rPr>
          <w:rFonts w:asciiTheme="majorBidi" w:hAnsiTheme="majorBidi" w:cstheme="majorBidi"/>
          <w:sz w:val="20"/>
          <w:szCs w:val="20"/>
        </w:rPr>
        <w:t>ange that might happen in vivo.</w:t>
      </w:r>
    </w:p>
    <w:p w:rsidR="00200366" w:rsidRPr="009901A2" w:rsidRDefault="009901A2" w:rsidP="009901A2">
      <w:pPr>
        <w:pStyle w:val="ListParagraph"/>
        <w:widowControl w:val="0"/>
        <w:numPr>
          <w:ilvl w:val="0"/>
          <w:numId w:val="5"/>
        </w:numPr>
        <w:spacing w:before="100" w:beforeAutospacing="1" w:after="100" w:afterAutospacing="1" w:line="360" w:lineRule="auto"/>
        <w:ind w:left="180" w:hanging="180"/>
        <w:jc w:val="both"/>
        <w:rPr>
          <w:rFonts w:asciiTheme="majorBidi" w:hAnsiTheme="majorBidi" w:cstheme="majorBidi"/>
          <w:b/>
          <w:bCs/>
          <w:sz w:val="20"/>
          <w:szCs w:val="20"/>
        </w:rPr>
      </w:pPr>
      <w:r w:rsidRPr="009901A2">
        <w:rPr>
          <w:rFonts w:asciiTheme="majorBidi" w:hAnsiTheme="majorBidi" w:cstheme="majorBidi"/>
          <w:b/>
          <w:bCs/>
          <w:sz w:val="20"/>
          <w:szCs w:val="20"/>
        </w:rPr>
        <w:t>The overall conclusion</w:t>
      </w:r>
    </w:p>
    <w:p w:rsidR="007C02FC" w:rsidRPr="007F7899" w:rsidRDefault="00117694" w:rsidP="007F7899">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Betaglycan can be expressed by HK2 cells spontaneously or by inflammatory cytokines and can also be inhibited by siRNA, P-nitrophenyl-β-D-xylopyranoside, and ameliorate fibrosis as well as cancer through a group of multiple regulatory mechanisms towards TGF-β1 signalling and also could contributes to EMT.</w:t>
      </w:r>
      <w:r w:rsidR="006A6993" w:rsidRPr="007F7899">
        <w:rPr>
          <w:rFonts w:asciiTheme="majorBidi" w:hAnsiTheme="majorBidi" w:cstheme="majorBidi"/>
          <w:sz w:val="20"/>
          <w:szCs w:val="20"/>
        </w:rPr>
        <w:t xml:space="preserve"> </w:t>
      </w:r>
      <w:r w:rsidR="00200366" w:rsidRPr="007F7899">
        <w:rPr>
          <w:rFonts w:asciiTheme="majorBidi" w:hAnsiTheme="majorBidi" w:cstheme="majorBidi"/>
          <w:sz w:val="20"/>
          <w:szCs w:val="20"/>
        </w:rPr>
        <w:t xml:space="preserve">Betaglycan acts as apotential regulator of TGF- β1 signalling in the kidney. </w:t>
      </w:r>
    </w:p>
    <w:p w:rsidR="007C02FC" w:rsidRPr="009901A2" w:rsidRDefault="009901A2" w:rsidP="009901A2">
      <w:pPr>
        <w:pStyle w:val="ListParagraph"/>
        <w:widowControl w:val="0"/>
        <w:numPr>
          <w:ilvl w:val="0"/>
          <w:numId w:val="5"/>
        </w:numPr>
        <w:spacing w:before="100" w:beforeAutospacing="1" w:after="100" w:afterAutospacing="1" w:line="360" w:lineRule="auto"/>
        <w:ind w:left="180" w:hanging="180"/>
        <w:jc w:val="both"/>
        <w:rPr>
          <w:rFonts w:asciiTheme="majorBidi" w:hAnsiTheme="majorBidi" w:cstheme="majorBidi"/>
          <w:b/>
          <w:bCs/>
          <w:sz w:val="20"/>
          <w:szCs w:val="20"/>
        </w:rPr>
      </w:pPr>
      <w:r>
        <w:rPr>
          <w:rFonts w:asciiTheme="majorBidi" w:hAnsiTheme="majorBidi" w:cstheme="majorBidi"/>
          <w:b/>
          <w:bCs/>
          <w:sz w:val="20"/>
          <w:szCs w:val="20"/>
        </w:rPr>
        <w:t xml:space="preserve">Recommendations </w:t>
      </w:r>
    </w:p>
    <w:p w:rsidR="00567AE7" w:rsidRPr="009901A2" w:rsidRDefault="00200366" w:rsidP="009901A2">
      <w:pPr>
        <w:widowControl w:val="0"/>
        <w:spacing w:before="100" w:beforeAutospacing="1" w:after="100" w:afterAutospacing="1" w:line="360" w:lineRule="auto"/>
        <w:jc w:val="both"/>
        <w:rPr>
          <w:rFonts w:asciiTheme="majorBidi" w:hAnsiTheme="majorBidi" w:cstheme="majorBidi"/>
          <w:sz w:val="20"/>
          <w:szCs w:val="20"/>
        </w:rPr>
      </w:pPr>
      <w:r w:rsidRPr="007F7899">
        <w:rPr>
          <w:rFonts w:asciiTheme="majorBidi" w:hAnsiTheme="majorBidi" w:cstheme="majorBidi"/>
          <w:sz w:val="20"/>
          <w:szCs w:val="20"/>
        </w:rPr>
        <w:t xml:space="preserve"> These groups of betaglycan actions will have a potential impact on TGF-β, which is the key factor in renal</w:t>
      </w:r>
      <w:r w:rsidR="00320508" w:rsidRPr="007F7899">
        <w:rPr>
          <w:rFonts w:asciiTheme="majorBidi" w:hAnsiTheme="majorBidi" w:cstheme="majorBidi"/>
          <w:sz w:val="20"/>
          <w:szCs w:val="20"/>
        </w:rPr>
        <w:t xml:space="preserve"> </w:t>
      </w:r>
      <w:r w:rsidRPr="007F7899">
        <w:rPr>
          <w:rFonts w:asciiTheme="majorBidi" w:hAnsiTheme="majorBidi" w:cstheme="majorBidi"/>
          <w:sz w:val="20"/>
          <w:szCs w:val="20"/>
        </w:rPr>
        <w:t>fibrosis and when combined together they will provide a new weapon in th</w:t>
      </w:r>
      <w:r w:rsidR="009901A2">
        <w:rPr>
          <w:rFonts w:asciiTheme="majorBidi" w:hAnsiTheme="majorBidi" w:cstheme="majorBidi"/>
          <w:sz w:val="20"/>
          <w:szCs w:val="20"/>
        </w:rPr>
        <w:t>e treatment of kidney fibrosis.</w:t>
      </w:r>
    </w:p>
    <w:p w:rsidR="006D4D22" w:rsidRPr="007F7899" w:rsidRDefault="00B22DC5" w:rsidP="007F7899">
      <w:pPr>
        <w:widowControl w:val="0"/>
        <w:spacing w:before="100" w:beforeAutospacing="1" w:after="100" w:afterAutospacing="1" w:line="360" w:lineRule="auto"/>
        <w:jc w:val="both"/>
        <w:rPr>
          <w:rFonts w:asciiTheme="majorBidi" w:hAnsiTheme="majorBidi" w:cstheme="majorBidi"/>
          <w:b/>
          <w:bCs/>
          <w:sz w:val="20"/>
          <w:szCs w:val="20"/>
        </w:rPr>
      </w:pPr>
      <w:r>
        <w:rPr>
          <w:rFonts w:asciiTheme="majorBidi" w:hAnsiTheme="majorBidi" w:cstheme="majorBidi"/>
          <w:b/>
          <w:bCs/>
          <w:sz w:val="20"/>
          <w:szCs w:val="20"/>
        </w:rPr>
        <w:t>References</w:t>
      </w:r>
    </w:p>
    <w:p w:rsidR="00E74F17"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6D4D22" w:rsidRPr="008E1DF4">
        <w:rPr>
          <w:rFonts w:asciiTheme="majorBidi" w:hAnsiTheme="majorBidi" w:cstheme="majorBidi"/>
          <w:sz w:val="20"/>
          <w:szCs w:val="20"/>
        </w:rPr>
        <w:t>1</w:t>
      </w:r>
      <w:r w:rsidRPr="008E1DF4">
        <w:rPr>
          <w:rFonts w:asciiTheme="majorBidi" w:hAnsiTheme="majorBidi" w:cstheme="majorBidi"/>
          <w:sz w:val="20"/>
          <w:szCs w:val="20"/>
        </w:rPr>
        <w:t xml:space="preserve">] </w:t>
      </w:r>
      <w:r w:rsidR="00E8171E" w:rsidRPr="008E1DF4">
        <w:rPr>
          <w:rFonts w:asciiTheme="majorBidi" w:hAnsiTheme="majorBidi" w:cstheme="majorBidi"/>
          <w:sz w:val="20"/>
          <w:szCs w:val="20"/>
        </w:rPr>
        <w:t>.</w:t>
      </w:r>
      <w:r w:rsidR="006D4D22" w:rsidRPr="008E1DF4">
        <w:rPr>
          <w:rFonts w:asciiTheme="majorBidi" w:hAnsiTheme="majorBidi" w:cstheme="majorBidi"/>
          <w:sz w:val="20"/>
          <w:szCs w:val="20"/>
        </w:rPr>
        <w:t xml:space="preserve">Bottinger E. P, Bitzer M </w:t>
      </w:r>
      <w:proofErr w:type="gramStart"/>
      <w:r w:rsidR="006D4D22" w:rsidRPr="008E1DF4">
        <w:rPr>
          <w:rFonts w:asciiTheme="majorBidi" w:hAnsiTheme="majorBidi" w:cstheme="majorBidi"/>
          <w:sz w:val="20"/>
          <w:szCs w:val="20"/>
        </w:rPr>
        <w:t>( 2002</w:t>
      </w:r>
      <w:proofErr w:type="gramEnd"/>
      <w:r w:rsidR="006D4D22" w:rsidRPr="008E1DF4">
        <w:rPr>
          <w:rFonts w:asciiTheme="majorBidi" w:hAnsiTheme="majorBidi" w:cstheme="majorBidi"/>
          <w:sz w:val="20"/>
          <w:szCs w:val="20"/>
        </w:rPr>
        <w:t>).  TGF-beta signaling in renal disease</w:t>
      </w:r>
      <w:proofErr w:type="gramStart"/>
      <w:r w:rsidR="006D4D22" w:rsidRPr="008E1DF4">
        <w:rPr>
          <w:rFonts w:asciiTheme="majorBidi" w:hAnsiTheme="majorBidi" w:cstheme="majorBidi"/>
          <w:sz w:val="20"/>
          <w:szCs w:val="20"/>
        </w:rPr>
        <w:t>ˮ  J</w:t>
      </w:r>
      <w:proofErr w:type="gramEnd"/>
      <w:r w:rsidR="006D4D22" w:rsidRPr="008E1DF4">
        <w:rPr>
          <w:rFonts w:asciiTheme="majorBidi" w:hAnsiTheme="majorBidi" w:cstheme="majorBidi"/>
          <w:sz w:val="20"/>
          <w:szCs w:val="20"/>
        </w:rPr>
        <w:t xml:space="preserve"> Am Soc Nephrol. 2002 </w:t>
      </w:r>
      <w:r w:rsidR="00E74F17" w:rsidRPr="008E1DF4">
        <w:rPr>
          <w:rFonts w:asciiTheme="majorBidi" w:hAnsiTheme="majorBidi" w:cstheme="majorBidi"/>
          <w:sz w:val="20"/>
          <w:szCs w:val="20"/>
        </w:rPr>
        <w:t>Oct</w:t>
      </w:r>
      <w:proofErr w:type="gramStart"/>
      <w:r w:rsidR="00E74F17" w:rsidRPr="008E1DF4">
        <w:rPr>
          <w:rFonts w:asciiTheme="majorBidi" w:hAnsiTheme="majorBidi" w:cstheme="majorBidi"/>
          <w:sz w:val="20"/>
          <w:szCs w:val="20"/>
        </w:rPr>
        <w:t>;13</w:t>
      </w:r>
      <w:proofErr w:type="gramEnd"/>
      <w:r w:rsidR="00E74F17" w:rsidRPr="008E1DF4">
        <w:rPr>
          <w:rFonts w:asciiTheme="majorBidi" w:hAnsiTheme="majorBidi" w:cstheme="majorBidi"/>
          <w:sz w:val="20"/>
          <w:szCs w:val="20"/>
        </w:rPr>
        <w:t>(10):2600-10.</w:t>
      </w:r>
    </w:p>
    <w:p w:rsidR="007355EF"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6D4D22" w:rsidRPr="008E1DF4">
        <w:rPr>
          <w:rFonts w:asciiTheme="majorBidi" w:hAnsiTheme="majorBidi" w:cstheme="majorBidi"/>
          <w:sz w:val="20"/>
          <w:szCs w:val="20"/>
        </w:rPr>
        <w:t>2</w:t>
      </w:r>
      <w:r w:rsidRPr="008E1DF4">
        <w:rPr>
          <w:rFonts w:asciiTheme="majorBidi" w:hAnsiTheme="majorBidi" w:cstheme="majorBidi"/>
          <w:sz w:val="20"/>
          <w:szCs w:val="20"/>
        </w:rPr>
        <w:t xml:space="preserve">] </w:t>
      </w:r>
      <w:r w:rsidR="00E8171E" w:rsidRPr="008E1DF4">
        <w:rPr>
          <w:rFonts w:asciiTheme="majorBidi" w:hAnsiTheme="majorBidi" w:cstheme="majorBidi"/>
          <w:sz w:val="20"/>
          <w:szCs w:val="20"/>
        </w:rPr>
        <w:t>.</w:t>
      </w:r>
      <w:r w:rsidR="006D4D22" w:rsidRPr="008E1DF4">
        <w:rPr>
          <w:rFonts w:asciiTheme="majorBidi" w:hAnsiTheme="majorBidi" w:cstheme="majorBidi"/>
          <w:sz w:val="20"/>
          <w:szCs w:val="20"/>
        </w:rPr>
        <w:t xml:space="preserve">Chen C.L., Huang S.S., and Huang J.S. (2006). Cellular heparan sulfate negatively </w:t>
      </w:r>
      <w:proofErr w:type="gramStart"/>
      <w:r w:rsidR="006D4D22" w:rsidRPr="008E1DF4">
        <w:rPr>
          <w:rFonts w:asciiTheme="majorBidi" w:hAnsiTheme="majorBidi" w:cstheme="majorBidi"/>
          <w:sz w:val="20"/>
          <w:szCs w:val="20"/>
        </w:rPr>
        <w:t xml:space="preserve">modulates </w:t>
      </w:r>
      <w:r w:rsidR="00E74F17" w:rsidRPr="008E1DF4">
        <w:rPr>
          <w:rFonts w:asciiTheme="majorBidi" w:hAnsiTheme="majorBidi" w:cstheme="majorBidi"/>
          <w:sz w:val="20"/>
          <w:szCs w:val="20"/>
        </w:rPr>
        <w:t xml:space="preserve"> transforming</w:t>
      </w:r>
      <w:proofErr w:type="gramEnd"/>
      <w:r w:rsidR="00E74F17" w:rsidRPr="008E1DF4">
        <w:rPr>
          <w:rFonts w:asciiTheme="majorBidi" w:hAnsiTheme="majorBidi" w:cstheme="majorBidi"/>
          <w:sz w:val="20"/>
          <w:szCs w:val="20"/>
        </w:rPr>
        <w:t xml:space="preserve"> growth factor-beta1 (TGF-beta1) responsiveness in epith</w:t>
      </w:r>
      <w:r w:rsidR="00E8171E" w:rsidRPr="008E1DF4">
        <w:rPr>
          <w:rFonts w:asciiTheme="majorBidi" w:hAnsiTheme="majorBidi" w:cstheme="majorBidi"/>
          <w:sz w:val="20"/>
          <w:szCs w:val="20"/>
        </w:rPr>
        <w:t xml:space="preserve">elial cells. </w:t>
      </w:r>
      <w:proofErr w:type="gramStart"/>
      <w:r w:rsidR="00E8171E" w:rsidRPr="008E1DF4">
        <w:rPr>
          <w:rFonts w:asciiTheme="majorBidi" w:hAnsiTheme="majorBidi" w:cstheme="majorBidi"/>
          <w:sz w:val="20"/>
          <w:szCs w:val="20"/>
        </w:rPr>
        <w:t>J Biol Chem.</w:t>
      </w:r>
      <w:proofErr w:type="gramEnd"/>
      <w:r w:rsidR="00E8171E" w:rsidRPr="008E1DF4">
        <w:rPr>
          <w:rFonts w:asciiTheme="majorBidi" w:hAnsiTheme="majorBidi" w:cstheme="majorBidi"/>
          <w:sz w:val="20"/>
          <w:szCs w:val="20"/>
        </w:rPr>
        <w:t xml:space="preserve">  </w:t>
      </w:r>
      <w:proofErr w:type="gramStart"/>
      <w:r w:rsidR="00E8171E" w:rsidRPr="008E1DF4">
        <w:rPr>
          <w:rFonts w:asciiTheme="majorBidi" w:hAnsiTheme="majorBidi" w:cstheme="majorBidi"/>
          <w:sz w:val="20"/>
          <w:szCs w:val="20"/>
        </w:rPr>
        <w:t xml:space="preserve">Apr </w:t>
      </w:r>
      <w:r w:rsidR="00E74F17" w:rsidRPr="008E1DF4">
        <w:rPr>
          <w:rFonts w:asciiTheme="majorBidi" w:hAnsiTheme="majorBidi" w:cstheme="majorBidi"/>
          <w:sz w:val="20"/>
          <w:szCs w:val="20"/>
        </w:rPr>
        <w:t xml:space="preserve"> 28</w:t>
      </w:r>
      <w:proofErr w:type="gramEnd"/>
      <w:r w:rsidR="00E74F17" w:rsidRPr="008E1DF4">
        <w:rPr>
          <w:rFonts w:asciiTheme="majorBidi" w:hAnsiTheme="majorBidi" w:cstheme="majorBidi"/>
          <w:sz w:val="20"/>
          <w:szCs w:val="20"/>
        </w:rPr>
        <w:t>;281(17):11506-14.</w:t>
      </w:r>
    </w:p>
    <w:p w:rsidR="00E74F17" w:rsidRPr="008E1DF4" w:rsidRDefault="00E74F17"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 xml:space="preserve"> </w:t>
      </w:r>
      <w:r w:rsidR="003C3E75" w:rsidRPr="008E1DF4">
        <w:rPr>
          <w:rFonts w:asciiTheme="majorBidi" w:hAnsiTheme="majorBidi" w:cstheme="majorBidi"/>
          <w:sz w:val="20"/>
          <w:szCs w:val="20"/>
        </w:rPr>
        <w:t>[</w:t>
      </w:r>
      <w:r w:rsidR="006D4D22" w:rsidRPr="008E1DF4">
        <w:rPr>
          <w:rFonts w:asciiTheme="majorBidi" w:hAnsiTheme="majorBidi" w:cstheme="majorBidi"/>
          <w:sz w:val="20"/>
          <w:szCs w:val="20"/>
        </w:rPr>
        <w:t>3</w:t>
      </w:r>
      <w:r w:rsidR="00E8171E"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 xml:space="preserve">Hopkins A.L., and Groom C.R. (2002). </w:t>
      </w:r>
      <w:proofErr w:type="gramStart"/>
      <w:r w:rsidR="006D4D22" w:rsidRPr="008E1DF4">
        <w:rPr>
          <w:rFonts w:asciiTheme="majorBidi" w:hAnsiTheme="majorBidi" w:cstheme="majorBidi"/>
          <w:sz w:val="20"/>
          <w:szCs w:val="20"/>
        </w:rPr>
        <w:t>The druggable genome.</w:t>
      </w:r>
      <w:proofErr w:type="gramEnd"/>
      <w:r w:rsidR="006D4D22" w:rsidRPr="008E1DF4">
        <w:rPr>
          <w:rFonts w:asciiTheme="majorBidi" w:hAnsiTheme="majorBidi" w:cstheme="majorBidi"/>
          <w:sz w:val="20"/>
          <w:szCs w:val="20"/>
        </w:rPr>
        <w:t xml:space="preserve"> N</w:t>
      </w:r>
      <w:r w:rsidR="00E8171E" w:rsidRPr="008E1DF4">
        <w:rPr>
          <w:rFonts w:asciiTheme="majorBidi" w:hAnsiTheme="majorBidi" w:cstheme="majorBidi"/>
          <w:sz w:val="20"/>
          <w:szCs w:val="20"/>
        </w:rPr>
        <w:t xml:space="preserve">ature reviews. Drug discovery, </w:t>
      </w:r>
      <w:r w:rsidRPr="008E1DF4">
        <w:rPr>
          <w:rFonts w:asciiTheme="majorBidi" w:hAnsiTheme="majorBidi" w:cstheme="majorBidi"/>
          <w:sz w:val="20"/>
          <w:szCs w:val="20"/>
        </w:rPr>
        <w:lastRenderedPageBreak/>
        <w:t>1(9):727-30.</w:t>
      </w:r>
    </w:p>
    <w:p w:rsidR="00E74F17"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6D4D22" w:rsidRPr="008E1DF4">
        <w:rPr>
          <w:rFonts w:asciiTheme="majorBidi" w:hAnsiTheme="majorBidi" w:cstheme="majorBidi"/>
          <w:sz w:val="20"/>
          <w:szCs w:val="20"/>
        </w:rPr>
        <w:t>4</w:t>
      </w:r>
      <w:r w:rsidRPr="008E1DF4">
        <w:rPr>
          <w:rFonts w:asciiTheme="majorBidi" w:hAnsiTheme="majorBidi" w:cstheme="majorBidi"/>
          <w:sz w:val="20"/>
          <w:szCs w:val="20"/>
        </w:rPr>
        <w:t xml:space="preserve">] </w:t>
      </w:r>
      <w:r w:rsidR="00E8171E" w:rsidRPr="008E1DF4">
        <w:rPr>
          <w:rFonts w:asciiTheme="majorBidi" w:hAnsiTheme="majorBidi" w:cstheme="majorBidi"/>
          <w:sz w:val="20"/>
          <w:szCs w:val="20"/>
        </w:rPr>
        <w:t>.</w:t>
      </w:r>
      <w:r w:rsidR="006D4D22" w:rsidRPr="008E1DF4">
        <w:rPr>
          <w:rFonts w:asciiTheme="majorBidi" w:hAnsiTheme="majorBidi" w:cstheme="majorBidi"/>
          <w:sz w:val="20"/>
          <w:szCs w:val="20"/>
        </w:rPr>
        <w:t>Downer G., Phan S. H., et al. (1988). Analysis of renal fibrosis in rabbit m</w:t>
      </w:r>
      <w:r w:rsidR="00E8171E" w:rsidRPr="008E1DF4">
        <w:rPr>
          <w:rFonts w:asciiTheme="majorBidi" w:hAnsiTheme="majorBidi" w:cstheme="majorBidi"/>
          <w:sz w:val="20"/>
          <w:szCs w:val="20"/>
        </w:rPr>
        <w:t xml:space="preserve">odel of </w:t>
      </w:r>
      <w:proofErr w:type="gramStart"/>
      <w:r w:rsidR="00E8171E" w:rsidRPr="008E1DF4">
        <w:rPr>
          <w:rFonts w:asciiTheme="majorBidi" w:hAnsiTheme="majorBidi" w:cstheme="majorBidi"/>
          <w:sz w:val="20"/>
          <w:szCs w:val="20"/>
        </w:rPr>
        <w:t>crescentic  nephritis</w:t>
      </w:r>
      <w:proofErr w:type="gramEnd"/>
      <w:r w:rsidR="00E8171E" w:rsidRPr="008E1DF4">
        <w:rPr>
          <w:rFonts w:asciiTheme="majorBidi" w:hAnsiTheme="majorBidi" w:cstheme="majorBidi"/>
          <w:sz w:val="20"/>
          <w:szCs w:val="20"/>
        </w:rPr>
        <w:t xml:space="preserve"> </w:t>
      </w:r>
      <w:r w:rsidR="00E74F17" w:rsidRPr="008E1DF4">
        <w:rPr>
          <w:rFonts w:asciiTheme="majorBidi" w:hAnsiTheme="majorBidi" w:cstheme="majorBidi"/>
          <w:sz w:val="20"/>
          <w:szCs w:val="20"/>
        </w:rPr>
        <w:t>Clin Invest 82(3): 998-1006</w:t>
      </w:r>
    </w:p>
    <w:p w:rsidR="00E74F17"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6D4D22" w:rsidRPr="008E1DF4">
        <w:rPr>
          <w:rFonts w:asciiTheme="majorBidi" w:hAnsiTheme="majorBidi" w:cstheme="majorBidi"/>
          <w:sz w:val="20"/>
          <w:szCs w:val="20"/>
        </w:rPr>
        <w:t>5</w:t>
      </w:r>
      <w:r w:rsidRPr="008E1DF4">
        <w:rPr>
          <w:rFonts w:asciiTheme="majorBidi" w:hAnsiTheme="majorBidi" w:cstheme="majorBidi"/>
          <w:sz w:val="20"/>
          <w:szCs w:val="20"/>
        </w:rPr>
        <w:t xml:space="preserve">] </w:t>
      </w:r>
      <w:r w:rsidR="00E8171E" w:rsidRPr="008E1DF4">
        <w:rPr>
          <w:rFonts w:asciiTheme="majorBidi" w:hAnsiTheme="majorBidi" w:cstheme="majorBidi"/>
          <w:sz w:val="20"/>
          <w:szCs w:val="20"/>
        </w:rPr>
        <w:t>.</w:t>
      </w:r>
      <w:r w:rsidR="006D4D22" w:rsidRPr="008E1DF4">
        <w:rPr>
          <w:rFonts w:asciiTheme="majorBidi" w:hAnsiTheme="majorBidi" w:cstheme="majorBidi"/>
          <w:sz w:val="20"/>
          <w:szCs w:val="20"/>
        </w:rPr>
        <w:t xml:space="preserve">Fukagawa M., Noda M., Shimizu T., </w:t>
      </w:r>
      <w:proofErr w:type="gramStart"/>
      <w:r w:rsidR="006D4D22" w:rsidRPr="008E1DF4">
        <w:rPr>
          <w:rFonts w:asciiTheme="majorBidi" w:hAnsiTheme="majorBidi" w:cstheme="majorBidi"/>
          <w:sz w:val="20"/>
          <w:szCs w:val="20"/>
        </w:rPr>
        <w:t>and  Kurokawa</w:t>
      </w:r>
      <w:proofErr w:type="gramEnd"/>
      <w:r w:rsidR="006D4D22" w:rsidRPr="008E1DF4">
        <w:rPr>
          <w:rFonts w:asciiTheme="majorBidi" w:hAnsiTheme="majorBidi" w:cstheme="majorBidi"/>
          <w:sz w:val="20"/>
          <w:szCs w:val="20"/>
        </w:rPr>
        <w:t xml:space="preserve"> K. (1999)  Chronic progressive interstitial fibrosis </w:t>
      </w:r>
      <w:r w:rsidR="00E74F17" w:rsidRPr="008E1DF4">
        <w:rPr>
          <w:rFonts w:asciiTheme="majorBidi" w:hAnsiTheme="majorBidi" w:cstheme="majorBidi"/>
          <w:sz w:val="20"/>
          <w:szCs w:val="20"/>
        </w:rPr>
        <w:t>in renal disease—are there novel pharmacological approaches?, Ne</w:t>
      </w:r>
      <w:r w:rsidR="00E8171E" w:rsidRPr="008E1DF4">
        <w:rPr>
          <w:rFonts w:asciiTheme="majorBidi" w:hAnsiTheme="majorBidi" w:cstheme="majorBidi"/>
          <w:sz w:val="20"/>
          <w:szCs w:val="20"/>
        </w:rPr>
        <w:t>phrol Dial Transplant 14: 2793-</w:t>
      </w:r>
      <w:r w:rsidR="00E74F17" w:rsidRPr="008E1DF4">
        <w:rPr>
          <w:rFonts w:asciiTheme="majorBidi" w:hAnsiTheme="majorBidi" w:cstheme="majorBidi"/>
          <w:sz w:val="20"/>
          <w:szCs w:val="20"/>
        </w:rPr>
        <w:t>2795.</w:t>
      </w:r>
    </w:p>
    <w:p w:rsidR="00925FAF"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6D4D22" w:rsidRPr="008E1DF4">
        <w:rPr>
          <w:rFonts w:asciiTheme="majorBidi" w:hAnsiTheme="majorBidi" w:cstheme="majorBidi"/>
          <w:sz w:val="20"/>
          <w:szCs w:val="20"/>
        </w:rPr>
        <w:t>6</w:t>
      </w:r>
      <w:r w:rsidRPr="008E1DF4">
        <w:rPr>
          <w:rFonts w:asciiTheme="majorBidi" w:hAnsiTheme="majorBidi" w:cstheme="majorBidi"/>
          <w:sz w:val="20"/>
          <w:szCs w:val="20"/>
        </w:rPr>
        <w:t>]</w:t>
      </w:r>
      <w:r w:rsidR="00E8171E" w:rsidRPr="008E1DF4">
        <w:rPr>
          <w:rFonts w:asciiTheme="majorBidi" w:hAnsiTheme="majorBidi" w:cstheme="majorBidi"/>
          <w:sz w:val="20"/>
          <w:szCs w:val="20"/>
        </w:rPr>
        <w:t>.</w:t>
      </w:r>
      <w:r w:rsidR="006D4D22" w:rsidRPr="008E1DF4">
        <w:rPr>
          <w:rFonts w:asciiTheme="majorBidi" w:hAnsiTheme="majorBidi" w:cstheme="majorBidi"/>
          <w:sz w:val="20"/>
          <w:szCs w:val="20"/>
        </w:rPr>
        <w:t xml:space="preserve">Soma </w:t>
      </w:r>
      <w:r w:rsidR="00925FAF" w:rsidRPr="008E1DF4">
        <w:rPr>
          <w:rFonts w:asciiTheme="majorBidi" w:hAnsiTheme="majorBidi" w:cstheme="majorBidi"/>
          <w:sz w:val="20"/>
          <w:szCs w:val="20"/>
        </w:rPr>
        <w:t xml:space="preserve">Meran and Robert Steadman, Fibroblasts and myofibroblasts in renal fibrosis. </w:t>
      </w:r>
      <w:proofErr w:type="gramStart"/>
      <w:r w:rsidR="00925FAF" w:rsidRPr="008E1DF4">
        <w:rPr>
          <w:rFonts w:asciiTheme="majorBidi" w:hAnsiTheme="majorBidi" w:cstheme="majorBidi"/>
          <w:sz w:val="20"/>
          <w:szCs w:val="20"/>
        </w:rPr>
        <w:t>2011 https://doi.org/10.1111/j.1365-2613.2011.00764.x</w:t>
      </w:r>
      <w:r w:rsidR="00E66D0E" w:rsidRPr="008E1DF4">
        <w:rPr>
          <w:rFonts w:asciiTheme="majorBidi" w:hAnsiTheme="majorBidi" w:cstheme="majorBidi"/>
          <w:sz w:val="20"/>
          <w:szCs w:val="20"/>
        </w:rPr>
        <w:t>.</w:t>
      </w:r>
      <w:proofErr w:type="gramEnd"/>
    </w:p>
    <w:p w:rsidR="00E74F17"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6D4D22" w:rsidRPr="008E1DF4">
        <w:rPr>
          <w:rFonts w:asciiTheme="majorBidi" w:hAnsiTheme="majorBidi" w:cstheme="majorBidi"/>
          <w:sz w:val="20"/>
          <w:szCs w:val="20"/>
        </w:rPr>
        <w:t>7</w:t>
      </w:r>
      <w:r w:rsidRPr="008E1DF4">
        <w:rPr>
          <w:rFonts w:asciiTheme="majorBidi" w:hAnsiTheme="majorBidi" w:cstheme="majorBidi"/>
          <w:sz w:val="20"/>
          <w:szCs w:val="20"/>
        </w:rPr>
        <w:t xml:space="preserve">] </w:t>
      </w:r>
      <w:r w:rsidR="00E8171E" w:rsidRPr="008E1DF4">
        <w:rPr>
          <w:rFonts w:asciiTheme="majorBidi" w:hAnsiTheme="majorBidi" w:cstheme="majorBidi"/>
          <w:sz w:val="20"/>
          <w:szCs w:val="20"/>
        </w:rPr>
        <w:t>.</w:t>
      </w:r>
      <w:r w:rsidR="006D4D22" w:rsidRPr="008E1DF4">
        <w:rPr>
          <w:rFonts w:asciiTheme="majorBidi" w:hAnsiTheme="majorBidi" w:cstheme="majorBidi"/>
          <w:sz w:val="20"/>
          <w:szCs w:val="20"/>
        </w:rPr>
        <w:t>Bohle A., Muller GA., Wehrmann M., Mackensen-Haen S</w:t>
      </w:r>
      <w:proofErr w:type="gramStart"/>
      <w:r w:rsidR="00911496" w:rsidRPr="008E1DF4">
        <w:rPr>
          <w:rFonts w:asciiTheme="majorBidi" w:hAnsiTheme="majorBidi" w:cstheme="majorBidi"/>
          <w:sz w:val="20"/>
          <w:szCs w:val="20"/>
        </w:rPr>
        <w:t>,  et</w:t>
      </w:r>
      <w:proofErr w:type="gramEnd"/>
      <w:r w:rsidR="00911496" w:rsidRPr="008E1DF4">
        <w:rPr>
          <w:rFonts w:asciiTheme="majorBidi" w:hAnsiTheme="majorBidi" w:cstheme="majorBidi"/>
          <w:sz w:val="20"/>
          <w:szCs w:val="20"/>
        </w:rPr>
        <w:t xml:space="preserve"> al</w:t>
      </w:r>
      <w:r w:rsidR="00E8171E" w:rsidRPr="008E1DF4">
        <w:rPr>
          <w:rFonts w:asciiTheme="majorBidi" w:hAnsiTheme="majorBidi" w:cstheme="majorBidi"/>
          <w:sz w:val="20"/>
          <w:szCs w:val="20"/>
        </w:rPr>
        <w:t xml:space="preserve"> (1996). Pathogenesis </w:t>
      </w:r>
      <w:proofErr w:type="gramStart"/>
      <w:r w:rsidR="00E8171E" w:rsidRPr="008E1DF4">
        <w:rPr>
          <w:rFonts w:asciiTheme="majorBidi" w:hAnsiTheme="majorBidi" w:cstheme="majorBidi"/>
          <w:sz w:val="20"/>
          <w:szCs w:val="20"/>
        </w:rPr>
        <w:t xml:space="preserve">of </w:t>
      </w:r>
      <w:r w:rsidR="00E74F17" w:rsidRPr="008E1DF4">
        <w:rPr>
          <w:rFonts w:asciiTheme="majorBidi" w:hAnsiTheme="majorBidi" w:cstheme="majorBidi"/>
          <w:sz w:val="20"/>
          <w:szCs w:val="20"/>
        </w:rPr>
        <w:t xml:space="preserve"> chronic</w:t>
      </w:r>
      <w:proofErr w:type="gramEnd"/>
      <w:r w:rsidR="00E74F17" w:rsidRPr="008E1DF4">
        <w:rPr>
          <w:rFonts w:asciiTheme="majorBidi" w:hAnsiTheme="majorBidi" w:cstheme="majorBidi"/>
          <w:sz w:val="20"/>
          <w:szCs w:val="20"/>
        </w:rPr>
        <w:t xml:space="preserve"> renal failure in the primary glomerulopathies, renal vasculopathies, and chroni</w:t>
      </w:r>
      <w:r w:rsidR="00E8171E" w:rsidRPr="008E1DF4">
        <w:rPr>
          <w:rFonts w:asciiTheme="majorBidi" w:hAnsiTheme="majorBidi" w:cstheme="majorBidi"/>
          <w:sz w:val="20"/>
          <w:szCs w:val="20"/>
        </w:rPr>
        <w:t xml:space="preserve">c interstitial </w:t>
      </w:r>
      <w:r w:rsidR="00E74F17" w:rsidRPr="008E1DF4">
        <w:rPr>
          <w:rFonts w:asciiTheme="majorBidi" w:hAnsiTheme="majorBidi" w:cstheme="majorBidi"/>
          <w:sz w:val="20"/>
          <w:szCs w:val="20"/>
        </w:rPr>
        <w:t>nephritides. Kidney Int, 54: S2-9.</w:t>
      </w:r>
    </w:p>
    <w:p w:rsidR="00E74F17" w:rsidRPr="008E1DF4" w:rsidRDefault="0062511A"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 xml:space="preserve"> </w:t>
      </w:r>
      <w:r w:rsidR="003C3E75" w:rsidRPr="008E1DF4">
        <w:rPr>
          <w:rFonts w:asciiTheme="majorBidi" w:hAnsiTheme="majorBidi" w:cstheme="majorBidi"/>
          <w:sz w:val="20"/>
          <w:szCs w:val="20"/>
        </w:rPr>
        <w:t>[</w:t>
      </w:r>
      <w:r w:rsidR="006D4D22" w:rsidRPr="008E1DF4">
        <w:rPr>
          <w:rFonts w:asciiTheme="majorBidi" w:hAnsiTheme="majorBidi" w:cstheme="majorBidi"/>
          <w:sz w:val="20"/>
          <w:szCs w:val="20"/>
        </w:rPr>
        <w:t>8</w:t>
      </w:r>
      <w:r w:rsidR="003C3E75" w:rsidRPr="008E1DF4">
        <w:rPr>
          <w:rFonts w:asciiTheme="majorBidi" w:hAnsiTheme="majorBidi" w:cstheme="majorBidi"/>
          <w:sz w:val="20"/>
          <w:szCs w:val="20"/>
        </w:rPr>
        <w:t xml:space="preserve">] </w:t>
      </w:r>
      <w:r w:rsidR="00E8171E" w:rsidRPr="008E1DF4">
        <w:rPr>
          <w:rFonts w:asciiTheme="majorBidi" w:hAnsiTheme="majorBidi" w:cstheme="majorBidi"/>
          <w:sz w:val="20"/>
          <w:szCs w:val="20"/>
        </w:rPr>
        <w:t>.</w:t>
      </w:r>
      <w:r w:rsidR="006D4D22" w:rsidRPr="008E1DF4">
        <w:rPr>
          <w:rFonts w:asciiTheme="majorBidi" w:hAnsiTheme="majorBidi" w:cstheme="majorBidi"/>
          <w:sz w:val="20"/>
          <w:szCs w:val="20"/>
        </w:rPr>
        <w:t>Wang Shi-Nong., and Hirschberg Raimund</w:t>
      </w:r>
      <w:proofErr w:type="gramStart"/>
      <w:r w:rsidR="006D4D22" w:rsidRPr="008E1DF4">
        <w:rPr>
          <w:rFonts w:asciiTheme="majorBidi" w:hAnsiTheme="majorBidi" w:cstheme="majorBidi"/>
          <w:sz w:val="20"/>
          <w:szCs w:val="20"/>
        </w:rPr>
        <w:t>.(</w:t>
      </w:r>
      <w:proofErr w:type="gramEnd"/>
      <w:r w:rsidR="006D4D22" w:rsidRPr="008E1DF4">
        <w:rPr>
          <w:rFonts w:asciiTheme="majorBidi" w:hAnsiTheme="majorBidi" w:cstheme="majorBidi"/>
          <w:sz w:val="20"/>
          <w:szCs w:val="20"/>
        </w:rPr>
        <w:t>1999),  Tubular epithelial ce</w:t>
      </w:r>
      <w:r w:rsidR="00E8171E" w:rsidRPr="008E1DF4">
        <w:rPr>
          <w:rFonts w:asciiTheme="majorBidi" w:hAnsiTheme="majorBidi" w:cstheme="majorBidi"/>
          <w:sz w:val="20"/>
          <w:szCs w:val="20"/>
        </w:rPr>
        <w:t xml:space="preserve">ll activation and interstitial </w:t>
      </w:r>
      <w:r w:rsidR="00E74F17" w:rsidRPr="008E1DF4">
        <w:rPr>
          <w:rFonts w:asciiTheme="majorBidi" w:hAnsiTheme="majorBidi" w:cstheme="majorBidi"/>
          <w:sz w:val="20"/>
          <w:szCs w:val="20"/>
        </w:rPr>
        <w:t xml:space="preserve">fibrosis. </w:t>
      </w:r>
      <w:proofErr w:type="gramStart"/>
      <w:r w:rsidR="00E74F17" w:rsidRPr="008E1DF4">
        <w:rPr>
          <w:rFonts w:asciiTheme="majorBidi" w:hAnsiTheme="majorBidi" w:cstheme="majorBidi"/>
          <w:sz w:val="20"/>
          <w:szCs w:val="20"/>
        </w:rPr>
        <w:t>The role of glomerular ultrafiltration of growth factors in the n</w:t>
      </w:r>
      <w:r w:rsidR="00E8171E" w:rsidRPr="008E1DF4">
        <w:rPr>
          <w:rFonts w:asciiTheme="majorBidi" w:hAnsiTheme="majorBidi" w:cstheme="majorBidi"/>
          <w:sz w:val="20"/>
          <w:szCs w:val="20"/>
        </w:rPr>
        <w:t xml:space="preserve">ephrotic syndrome and diabetic </w:t>
      </w:r>
      <w:r w:rsidR="00E74F17" w:rsidRPr="008E1DF4">
        <w:rPr>
          <w:rFonts w:asciiTheme="majorBidi" w:hAnsiTheme="majorBidi" w:cstheme="majorBidi"/>
          <w:sz w:val="20"/>
          <w:szCs w:val="20"/>
        </w:rPr>
        <w:t>nephropathy.</w:t>
      </w:r>
      <w:proofErr w:type="gramEnd"/>
      <w:r w:rsidR="00E74F17" w:rsidRPr="008E1DF4">
        <w:rPr>
          <w:rFonts w:asciiTheme="majorBidi" w:hAnsiTheme="majorBidi" w:cstheme="majorBidi"/>
          <w:sz w:val="20"/>
          <w:szCs w:val="20"/>
        </w:rPr>
        <w:t xml:space="preserve"> Nephrol Dial </w:t>
      </w:r>
      <w:proofErr w:type="gramStart"/>
      <w:r w:rsidR="00E74F17" w:rsidRPr="008E1DF4">
        <w:rPr>
          <w:rFonts w:asciiTheme="majorBidi" w:hAnsiTheme="majorBidi" w:cstheme="majorBidi"/>
          <w:sz w:val="20"/>
          <w:szCs w:val="20"/>
        </w:rPr>
        <w:t>Transplant ,</w:t>
      </w:r>
      <w:proofErr w:type="gramEnd"/>
      <w:r w:rsidR="00E74F17" w:rsidRPr="008E1DF4">
        <w:rPr>
          <w:rFonts w:asciiTheme="majorBidi" w:hAnsiTheme="majorBidi" w:cstheme="majorBidi"/>
          <w:sz w:val="20"/>
          <w:szCs w:val="20"/>
        </w:rPr>
        <w:t xml:space="preserve"> 14: 2072-2074.</w:t>
      </w:r>
    </w:p>
    <w:p w:rsidR="00FE08C6" w:rsidRPr="008E1DF4" w:rsidRDefault="00A43C81"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 xml:space="preserve"> [9] </w:t>
      </w:r>
      <w:proofErr w:type="gramStart"/>
      <w:r w:rsidR="00E30AE2" w:rsidRPr="008E1DF4">
        <w:rPr>
          <w:rFonts w:asciiTheme="majorBidi" w:hAnsiTheme="majorBidi" w:cstheme="majorBidi"/>
          <w:sz w:val="20"/>
          <w:szCs w:val="20"/>
        </w:rPr>
        <w:t>Strutz .</w:t>
      </w:r>
      <w:proofErr w:type="gramEnd"/>
      <w:r w:rsidR="00E30AE2" w:rsidRPr="008E1DF4">
        <w:rPr>
          <w:rFonts w:asciiTheme="majorBidi" w:hAnsiTheme="majorBidi" w:cstheme="majorBidi"/>
          <w:sz w:val="20"/>
          <w:szCs w:val="20"/>
        </w:rPr>
        <w:t xml:space="preserve">  </w:t>
      </w:r>
      <w:proofErr w:type="gramStart"/>
      <w:r w:rsidR="00E30AE2" w:rsidRPr="008E1DF4">
        <w:rPr>
          <w:rFonts w:asciiTheme="majorBidi" w:hAnsiTheme="majorBidi" w:cstheme="majorBidi"/>
          <w:sz w:val="20"/>
          <w:szCs w:val="20"/>
        </w:rPr>
        <w:t>Novel aspects of renal fibrogenesis.</w:t>
      </w:r>
      <w:proofErr w:type="gramEnd"/>
      <w:r w:rsidR="00E30AE2" w:rsidRPr="008E1DF4">
        <w:rPr>
          <w:rFonts w:asciiTheme="majorBidi" w:hAnsiTheme="majorBidi" w:cstheme="majorBidi"/>
          <w:sz w:val="20"/>
          <w:szCs w:val="20"/>
        </w:rPr>
        <w:t xml:space="preserve"> Nephrol Dial Transplant (1995) 10: 1526-1532</w:t>
      </w:r>
    </w:p>
    <w:p w:rsidR="00E74F17"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10</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 xml:space="preserve">Nahas A.M.E., Muchaneta-Kubara E.C., Zhang G., Adam A., </w:t>
      </w:r>
      <w:r w:rsidR="00911496" w:rsidRPr="008E1DF4">
        <w:rPr>
          <w:rFonts w:asciiTheme="majorBidi" w:hAnsiTheme="majorBidi" w:cstheme="majorBidi"/>
          <w:sz w:val="20"/>
          <w:szCs w:val="20"/>
        </w:rPr>
        <w:t>et al</w:t>
      </w:r>
      <w:r w:rsidR="00E8171E" w:rsidRPr="008E1DF4">
        <w:rPr>
          <w:rFonts w:asciiTheme="majorBidi" w:hAnsiTheme="majorBidi" w:cstheme="majorBidi"/>
          <w:sz w:val="20"/>
          <w:szCs w:val="20"/>
        </w:rPr>
        <w:t>. (</w:t>
      </w:r>
      <w:proofErr w:type="gramStart"/>
      <w:r w:rsidR="00E8171E" w:rsidRPr="008E1DF4">
        <w:rPr>
          <w:rFonts w:asciiTheme="majorBidi" w:hAnsiTheme="majorBidi" w:cstheme="majorBidi"/>
          <w:sz w:val="20"/>
          <w:szCs w:val="20"/>
        </w:rPr>
        <w:t>1996 )</w:t>
      </w:r>
      <w:proofErr w:type="gramEnd"/>
      <w:r w:rsidR="00E8171E" w:rsidRPr="008E1DF4">
        <w:rPr>
          <w:rFonts w:asciiTheme="majorBidi" w:hAnsiTheme="majorBidi" w:cstheme="majorBidi"/>
          <w:sz w:val="20"/>
          <w:szCs w:val="20"/>
        </w:rPr>
        <w:t xml:space="preserve">, Phenotypic </w:t>
      </w:r>
      <w:r w:rsidR="00E74F17" w:rsidRPr="008E1DF4">
        <w:rPr>
          <w:rFonts w:asciiTheme="majorBidi" w:hAnsiTheme="majorBidi" w:cstheme="majorBidi"/>
          <w:sz w:val="20"/>
          <w:szCs w:val="20"/>
        </w:rPr>
        <w:t>modulation of renal cells during experimental and clinical renal scarring. Kidney Int; 49: S23-27.</w:t>
      </w:r>
    </w:p>
    <w:p w:rsidR="00E74F17"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11</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Struz F., Okada H., and Lo C.W., et al</w:t>
      </w:r>
      <w:proofErr w:type="gramStart"/>
      <w:r w:rsidR="006D4D22" w:rsidRPr="008E1DF4">
        <w:rPr>
          <w:rFonts w:asciiTheme="majorBidi" w:hAnsiTheme="majorBidi" w:cstheme="majorBidi"/>
          <w:sz w:val="20"/>
          <w:szCs w:val="20"/>
        </w:rPr>
        <w:t>.(</w:t>
      </w:r>
      <w:proofErr w:type="gramEnd"/>
      <w:r w:rsidR="006D4D22" w:rsidRPr="008E1DF4">
        <w:rPr>
          <w:rFonts w:asciiTheme="majorBidi" w:hAnsiTheme="majorBidi" w:cstheme="majorBidi"/>
          <w:sz w:val="20"/>
          <w:szCs w:val="20"/>
        </w:rPr>
        <w:t xml:space="preserve"> 1995). Identification and characterization o</w:t>
      </w:r>
      <w:r w:rsidR="00E8171E" w:rsidRPr="008E1DF4">
        <w:rPr>
          <w:rFonts w:asciiTheme="majorBidi" w:hAnsiTheme="majorBidi" w:cstheme="majorBidi"/>
          <w:sz w:val="20"/>
          <w:szCs w:val="20"/>
        </w:rPr>
        <w:t xml:space="preserve">f a fibroblast </w:t>
      </w:r>
      <w:r w:rsidR="00E74F17" w:rsidRPr="008E1DF4">
        <w:rPr>
          <w:rFonts w:asciiTheme="majorBidi" w:hAnsiTheme="majorBidi" w:cstheme="majorBidi"/>
          <w:sz w:val="20"/>
          <w:szCs w:val="20"/>
        </w:rPr>
        <w:t>marker: FSP1. J Cell Biol; 130: 393–405.</w:t>
      </w:r>
    </w:p>
    <w:p w:rsidR="00E74F17"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12</w:t>
      </w:r>
      <w:r w:rsidR="00A43C81" w:rsidRPr="008E1DF4">
        <w:rPr>
          <w:rFonts w:asciiTheme="majorBidi" w:hAnsiTheme="majorBidi" w:cstheme="majorBidi"/>
          <w:sz w:val="20"/>
          <w:szCs w:val="20"/>
        </w:rPr>
        <w:t>]</w:t>
      </w:r>
      <w:r w:rsidR="006D4D22" w:rsidRPr="008E1DF4">
        <w:rPr>
          <w:rFonts w:asciiTheme="majorBidi" w:hAnsiTheme="majorBidi" w:cstheme="majorBidi"/>
          <w:sz w:val="20"/>
          <w:szCs w:val="20"/>
        </w:rPr>
        <w:t xml:space="preserve">Yang </w:t>
      </w:r>
      <w:proofErr w:type="gramStart"/>
      <w:r w:rsidR="006D4D22" w:rsidRPr="008E1DF4">
        <w:rPr>
          <w:rFonts w:asciiTheme="majorBidi" w:hAnsiTheme="majorBidi" w:cstheme="majorBidi"/>
          <w:sz w:val="20"/>
          <w:szCs w:val="20"/>
        </w:rPr>
        <w:t>J.,</w:t>
      </w:r>
      <w:proofErr w:type="gramEnd"/>
      <w:r w:rsidR="006D4D22" w:rsidRPr="008E1DF4">
        <w:rPr>
          <w:rFonts w:asciiTheme="majorBidi" w:hAnsiTheme="majorBidi" w:cstheme="majorBidi"/>
          <w:sz w:val="20"/>
          <w:szCs w:val="20"/>
        </w:rPr>
        <w:t xml:space="preserve"> and Weinberg R.A. (2008). Epithelial-mesenchymal tra</w:t>
      </w:r>
      <w:r w:rsidR="00E8171E" w:rsidRPr="008E1DF4">
        <w:rPr>
          <w:rFonts w:asciiTheme="majorBidi" w:hAnsiTheme="majorBidi" w:cstheme="majorBidi"/>
          <w:sz w:val="20"/>
          <w:szCs w:val="20"/>
        </w:rPr>
        <w:t xml:space="preserve">nsition: at the crossroads </w:t>
      </w:r>
      <w:proofErr w:type="gramStart"/>
      <w:r w:rsidR="00E8171E" w:rsidRPr="008E1DF4">
        <w:rPr>
          <w:rFonts w:asciiTheme="majorBidi" w:hAnsiTheme="majorBidi" w:cstheme="majorBidi"/>
          <w:sz w:val="20"/>
          <w:szCs w:val="20"/>
        </w:rPr>
        <w:t xml:space="preserve">of  </w:t>
      </w:r>
      <w:r w:rsidR="00E74F17" w:rsidRPr="008E1DF4">
        <w:rPr>
          <w:rFonts w:asciiTheme="majorBidi" w:hAnsiTheme="majorBidi" w:cstheme="majorBidi"/>
          <w:sz w:val="20"/>
          <w:szCs w:val="20"/>
        </w:rPr>
        <w:t>development</w:t>
      </w:r>
      <w:proofErr w:type="gramEnd"/>
      <w:r w:rsidR="00E74F17" w:rsidRPr="008E1DF4">
        <w:rPr>
          <w:rFonts w:asciiTheme="majorBidi" w:hAnsiTheme="majorBidi" w:cstheme="majorBidi"/>
          <w:sz w:val="20"/>
          <w:szCs w:val="20"/>
        </w:rPr>
        <w:t xml:space="preserve"> and tumor metastasis. Dev Cell 14(6):818-829.</w:t>
      </w:r>
    </w:p>
    <w:p w:rsidR="00E74F17"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13</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Bohle A., Muller GA., Wehrmann M.</w:t>
      </w:r>
      <w:r w:rsidR="00911496" w:rsidRPr="008E1DF4">
        <w:rPr>
          <w:rFonts w:asciiTheme="majorBidi" w:hAnsiTheme="majorBidi" w:cstheme="majorBidi"/>
          <w:sz w:val="20"/>
          <w:szCs w:val="20"/>
        </w:rPr>
        <w:t>, Mackensen-Haen S.</w:t>
      </w:r>
      <w:proofErr w:type="gramStart"/>
      <w:r w:rsidR="00911496" w:rsidRPr="008E1DF4">
        <w:rPr>
          <w:rFonts w:asciiTheme="majorBidi" w:hAnsiTheme="majorBidi" w:cstheme="majorBidi"/>
          <w:sz w:val="20"/>
          <w:szCs w:val="20"/>
        </w:rPr>
        <w:t>,et</w:t>
      </w:r>
      <w:proofErr w:type="gramEnd"/>
      <w:r w:rsidR="00911496" w:rsidRPr="008E1DF4">
        <w:rPr>
          <w:rFonts w:asciiTheme="majorBidi" w:hAnsiTheme="majorBidi" w:cstheme="majorBidi"/>
          <w:sz w:val="20"/>
          <w:szCs w:val="20"/>
        </w:rPr>
        <w:t xml:space="preserve"> al</w:t>
      </w:r>
      <w:r w:rsidR="00E8171E" w:rsidRPr="008E1DF4">
        <w:rPr>
          <w:rFonts w:asciiTheme="majorBidi" w:hAnsiTheme="majorBidi" w:cstheme="majorBidi"/>
          <w:sz w:val="20"/>
          <w:szCs w:val="20"/>
        </w:rPr>
        <w:t xml:space="preserve">. (1996). </w:t>
      </w:r>
      <w:proofErr w:type="gramStart"/>
      <w:r w:rsidR="00E8171E" w:rsidRPr="008E1DF4">
        <w:rPr>
          <w:rFonts w:asciiTheme="majorBidi" w:hAnsiTheme="majorBidi" w:cstheme="majorBidi"/>
          <w:sz w:val="20"/>
          <w:szCs w:val="20"/>
        </w:rPr>
        <w:t xml:space="preserve">Pathogenesis of </w:t>
      </w:r>
      <w:r w:rsidR="00E74F17" w:rsidRPr="008E1DF4">
        <w:rPr>
          <w:rFonts w:asciiTheme="majorBidi" w:hAnsiTheme="majorBidi" w:cstheme="majorBidi"/>
          <w:sz w:val="20"/>
          <w:szCs w:val="20"/>
        </w:rPr>
        <w:t>chronic renal failure in the primary glomerulopathies, renal vasculopat</w:t>
      </w:r>
      <w:r w:rsidR="00E8171E" w:rsidRPr="008E1DF4">
        <w:rPr>
          <w:rFonts w:asciiTheme="majorBidi" w:hAnsiTheme="majorBidi" w:cstheme="majorBidi"/>
          <w:sz w:val="20"/>
          <w:szCs w:val="20"/>
        </w:rPr>
        <w:t xml:space="preserve">hies, and chronic interstitial </w:t>
      </w:r>
      <w:r w:rsidR="00E74F17" w:rsidRPr="008E1DF4">
        <w:rPr>
          <w:rFonts w:asciiTheme="majorBidi" w:hAnsiTheme="majorBidi" w:cstheme="majorBidi"/>
          <w:sz w:val="20"/>
          <w:szCs w:val="20"/>
        </w:rPr>
        <w:t>nephritides.</w:t>
      </w:r>
      <w:proofErr w:type="gramEnd"/>
      <w:r w:rsidR="00E74F17" w:rsidRPr="008E1DF4">
        <w:rPr>
          <w:rFonts w:asciiTheme="majorBidi" w:hAnsiTheme="majorBidi" w:cstheme="majorBidi"/>
          <w:sz w:val="20"/>
          <w:szCs w:val="20"/>
        </w:rPr>
        <w:t xml:space="preserve"> Kidney Int, 54: S2-9.</w:t>
      </w:r>
    </w:p>
    <w:p w:rsidR="00E74F17"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14</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Kalluri R., Neilson E.G. Epithelial-mesenchymal transition and its impli</w:t>
      </w:r>
      <w:r w:rsidR="00E8171E" w:rsidRPr="008E1DF4">
        <w:rPr>
          <w:rFonts w:asciiTheme="majorBidi" w:hAnsiTheme="majorBidi" w:cstheme="majorBidi"/>
          <w:sz w:val="20"/>
          <w:szCs w:val="20"/>
        </w:rPr>
        <w:t xml:space="preserve">cations for fibrosis. J. Clin. </w:t>
      </w:r>
      <w:r w:rsidR="00E74F17" w:rsidRPr="008E1DF4">
        <w:rPr>
          <w:rFonts w:asciiTheme="majorBidi" w:hAnsiTheme="majorBidi" w:cstheme="majorBidi"/>
          <w:sz w:val="20"/>
          <w:szCs w:val="20"/>
        </w:rPr>
        <w:t xml:space="preserve"> Invest. 2003</w:t>
      </w:r>
      <w:proofErr w:type="gramStart"/>
      <w:r w:rsidR="00E74F17" w:rsidRPr="008E1DF4">
        <w:rPr>
          <w:rFonts w:asciiTheme="majorBidi" w:hAnsiTheme="majorBidi" w:cstheme="majorBidi"/>
          <w:sz w:val="20"/>
          <w:szCs w:val="20"/>
        </w:rPr>
        <w:t>;112:1776</w:t>
      </w:r>
      <w:proofErr w:type="gramEnd"/>
      <w:r w:rsidR="00E74F17" w:rsidRPr="008E1DF4">
        <w:rPr>
          <w:rFonts w:asciiTheme="majorBidi" w:hAnsiTheme="majorBidi" w:cstheme="majorBidi"/>
          <w:sz w:val="20"/>
          <w:szCs w:val="20"/>
        </w:rPr>
        <w:t>–1784. [PMC free article] [PubMed]</w:t>
      </w:r>
    </w:p>
    <w:p w:rsidR="00E74F17"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15</w:t>
      </w:r>
      <w:r w:rsidR="00A43C81"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 xml:space="preserve">Zavadil J., Bottinger E.P. TGF-beta and epithelial-to-mesenchymal transitions. </w:t>
      </w:r>
      <w:proofErr w:type="gramStart"/>
      <w:r w:rsidR="006D4D22" w:rsidRPr="008E1DF4">
        <w:rPr>
          <w:rFonts w:asciiTheme="majorBidi" w:hAnsiTheme="majorBidi" w:cstheme="majorBidi"/>
          <w:sz w:val="20"/>
          <w:szCs w:val="20"/>
        </w:rPr>
        <w:t>Oncogene.</w:t>
      </w:r>
      <w:proofErr w:type="gramEnd"/>
      <w:r w:rsidR="006D4D22" w:rsidRPr="008E1DF4">
        <w:rPr>
          <w:rFonts w:asciiTheme="majorBidi" w:hAnsiTheme="majorBidi" w:cstheme="majorBidi"/>
          <w:sz w:val="20"/>
          <w:szCs w:val="20"/>
        </w:rPr>
        <w:t xml:space="preserve"> </w:t>
      </w:r>
      <w:r w:rsidR="00E74F17" w:rsidRPr="008E1DF4">
        <w:rPr>
          <w:rFonts w:asciiTheme="majorBidi" w:hAnsiTheme="majorBidi" w:cstheme="majorBidi"/>
          <w:sz w:val="20"/>
          <w:szCs w:val="20"/>
        </w:rPr>
        <w:t>2005</w:t>
      </w:r>
      <w:proofErr w:type="gramStart"/>
      <w:r w:rsidR="00E74F17" w:rsidRPr="008E1DF4">
        <w:rPr>
          <w:rFonts w:asciiTheme="majorBidi" w:hAnsiTheme="majorBidi" w:cstheme="majorBidi"/>
          <w:sz w:val="20"/>
          <w:szCs w:val="20"/>
        </w:rPr>
        <w:t>;24:5764</w:t>
      </w:r>
      <w:proofErr w:type="gramEnd"/>
      <w:r w:rsidR="00E74F17" w:rsidRPr="008E1DF4">
        <w:rPr>
          <w:rFonts w:asciiTheme="majorBidi" w:hAnsiTheme="majorBidi" w:cstheme="majorBidi"/>
          <w:sz w:val="20"/>
          <w:szCs w:val="20"/>
        </w:rPr>
        <w:t xml:space="preserve">–5774. </w:t>
      </w:r>
      <w:proofErr w:type="gramStart"/>
      <w:r w:rsidR="00E74F17" w:rsidRPr="008E1DF4">
        <w:rPr>
          <w:rFonts w:asciiTheme="majorBidi" w:hAnsiTheme="majorBidi" w:cstheme="majorBidi"/>
          <w:sz w:val="20"/>
          <w:szCs w:val="20"/>
        </w:rPr>
        <w:t>doi</w:t>
      </w:r>
      <w:proofErr w:type="gramEnd"/>
      <w:r w:rsidR="00E74F17" w:rsidRPr="008E1DF4">
        <w:rPr>
          <w:rFonts w:asciiTheme="majorBidi" w:hAnsiTheme="majorBidi" w:cstheme="majorBidi"/>
          <w:sz w:val="20"/>
          <w:szCs w:val="20"/>
        </w:rPr>
        <w:t>: 10.1038/sj.onc.1208927. [PubMed] [Cross Ref].</w:t>
      </w:r>
    </w:p>
    <w:p w:rsidR="00E74F17"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16</w:t>
      </w:r>
      <w:r w:rsidR="00A43C81"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Vernon A., and LaBonne C. (2004). Tumor metastasis: a new t</w:t>
      </w:r>
      <w:r w:rsidR="00E8171E" w:rsidRPr="008E1DF4">
        <w:rPr>
          <w:rFonts w:asciiTheme="majorBidi" w:hAnsiTheme="majorBidi" w:cstheme="majorBidi"/>
          <w:sz w:val="20"/>
          <w:szCs w:val="20"/>
        </w:rPr>
        <w:t xml:space="preserve">wist on epithelial-mesenchymal </w:t>
      </w:r>
      <w:r w:rsidR="00E74F17" w:rsidRPr="008E1DF4">
        <w:rPr>
          <w:rFonts w:asciiTheme="majorBidi" w:hAnsiTheme="majorBidi" w:cstheme="majorBidi"/>
          <w:sz w:val="20"/>
          <w:szCs w:val="20"/>
        </w:rPr>
        <w:t>transitions. Current Biology 14: 719–21.</w:t>
      </w:r>
    </w:p>
    <w:p w:rsidR="00512AE3"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lastRenderedPageBreak/>
        <w:t>[</w:t>
      </w:r>
      <w:r w:rsidR="007355EF" w:rsidRPr="008E1DF4">
        <w:rPr>
          <w:rFonts w:asciiTheme="majorBidi" w:hAnsiTheme="majorBidi" w:cstheme="majorBidi"/>
          <w:sz w:val="20"/>
          <w:szCs w:val="20"/>
        </w:rPr>
        <w:t>17</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Hay E.D., and Zuk A. (1995). Transformations between epit</w:t>
      </w:r>
      <w:r w:rsidR="00E8171E" w:rsidRPr="008E1DF4">
        <w:rPr>
          <w:rFonts w:asciiTheme="majorBidi" w:hAnsiTheme="majorBidi" w:cstheme="majorBidi"/>
          <w:sz w:val="20"/>
          <w:szCs w:val="20"/>
        </w:rPr>
        <w:t xml:space="preserve">helium and mesenchyme: normal, </w:t>
      </w:r>
      <w:r w:rsidR="00E74F17" w:rsidRPr="008E1DF4">
        <w:rPr>
          <w:rFonts w:asciiTheme="majorBidi" w:hAnsiTheme="majorBidi" w:cstheme="majorBidi"/>
          <w:sz w:val="20"/>
          <w:szCs w:val="20"/>
        </w:rPr>
        <w:t>pathological, and experimentally induced. Am J Kidney Dis</w:t>
      </w:r>
      <w:proofErr w:type="gramStart"/>
      <w:r w:rsidR="00E74F17" w:rsidRPr="008E1DF4">
        <w:rPr>
          <w:rFonts w:asciiTheme="majorBidi" w:hAnsiTheme="majorBidi" w:cstheme="majorBidi"/>
          <w:sz w:val="20"/>
          <w:szCs w:val="20"/>
        </w:rPr>
        <w:t>,  26</w:t>
      </w:r>
      <w:proofErr w:type="gramEnd"/>
      <w:r w:rsidR="00E74F17" w:rsidRPr="008E1DF4">
        <w:rPr>
          <w:rFonts w:asciiTheme="majorBidi" w:hAnsiTheme="majorBidi" w:cstheme="majorBidi"/>
          <w:sz w:val="20"/>
          <w:szCs w:val="20"/>
        </w:rPr>
        <w:t>(4):678-690.</w:t>
      </w:r>
    </w:p>
    <w:p w:rsidR="00512AE3"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18</w:t>
      </w:r>
      <w:r w:rsidR="00A43C81"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Lopez-Casillas F., Wrana J.L., Massague J. (1993). Betaglycan present</w:t>
      </w:r>
      <w:r w:rsidR="00E8171E" w:rsidRPr="008E1DF4">
        <w:rPr>
          <w:rFonts w:asciiTheme="majorBidi" w:hAnsiTheme="majorBidi" w:cstheme="majorBidi"/>
          <w:sz w:val="20"/>
          <w:szCs w:val="20"/>
        </w:rPr>
        <w:t>s ligand to the TGFβ signaling</w:t>
      </w:r>
      <w:r w:rsidR="00512AE3" w:rsidRPr="008E1DF4">
        <w:rPr>
          <w:rFonts w:asciiTheme="majorBidi" w:hAnsiTheme="majorBidi" w:cstheme="majorBidi"/>
          <w:sz w:val="20"/>
          <w:szCs w:val="20"/>
        </w:rPr>
        <w:t>receptor. Cell 73: 1435-1444.</w:t>
      </w:r>
    </w:p>
    <w:p w:rsidR="00512AE3"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19</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 xml:space="preserve">Andres J.L., DeFalcis D., et al. (1992). </w:t>
      </w:r>
      <w:proofErr w:type="gramStart"/>
      <w:r w:rsidR="006D4D22" w:rsidRPr="008E1DF4">
        <w:rPr>
          <w:rFonts w:asciiTheme="majorBidi" w:hAnsiTheme="majorBidi" w:cstheme="majorBidi"/>
          <w:sz w:val="20"/>
          <w:szCs w:val="20"/>
        </w:rPr>
        <w:t>Binding of two growth factor f</w:t>
      </w:r>
      <w:r w:rsidR="00E8171E" w:rsidRPr="008E1DF4">
        <w:rPr>
          <w:rFonts w:asciiTheme="majorBidi" w:hAnsiTheme="majorBidi" w:cstheme="majorBidi"/>
          <w:sz w:val="20"/>
          <w:szCs w:val="20"/>
        </w:rPr>
        <w:t xml:space="preserve">amilies to separate domains of </w:t>
      </w:r>
      <w:r w:rsidR="00512AE3" w:rsidRPr="008E1DF4">
        <w:rPr>
          <w:rFonts w:asciiTheme="majorBidi" w:hAnsiTheme="majorBidi" w:cstheme="majorBidi"/>
          <w:sz w:val="20"/>
          <w:szCs w:val="20"/>
        </w:rPr>
        <w:t>the proteoglycan betaglycan.</w:t>
      </w:r>
      <w:proofErr w:type="gramEnd"/>
      <w:r w:rsidR="00512AE3" w:rsidRPr="008E1DF4">
        <w:rPr>
          <w:rFonts w:asciiTheme="majorBidi" w:hAnsiTheme="majorBidi" w:cstheme="majorBidi"/>
          <w:sz w:val="20"/>
          <w:szCs w:val="20"/>
        </w:rPr>
        <w:t xml:space="preserve"> J. Biol. Chem, 267(9):5927-5930.</w:t>
      </w:r>
    </w:p>
    <w:p w:rsidR="00586714"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20</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Lopez-Casillas F., Wrana J.L., Massague J. (1993). Betaglycan presen</w:t>
      </w:r>
      <w:r w:rsidR="004E7B8D" w:rsidRPr="008E1DF4">
        <w:rPr>
          <w:rFonts w:asciiTheme="majorBidi" w:hAnsiTheme="majorBidi" w:cstheme="majorBidi"/>
          <w:sz w:val="20"/>
          <w:szCs w:val="20"/>
        </w:rPr>
        <w:t xml:space="preserve">ts ligand to the TGFβ </w:t>
      </w:r>
      <w:proofErr w:type="gramStart"/>
      <w:r w:rsidR="004E7B8D" w:rsidRPr="008E1DF4">
        <w:rPr>
          <w:rFonts w:asciiTheme="majorBidi" w:hAnsiTheme="majorBidi" w:cstheme="majorBidi"/>
          <w:sz w:val="20"/>
          <w:szCs w:val="20"/>
        </w:rPr>
        <w:t>signaling</w:t>
      </w:r>
      <w:r w:rsidR="00512AE3" w:rsidRPr="008E1DF4">
        <w:rPr>
          <w:rFonts w:asciiTheme="majorBidi" w:hAnsiTheme="majorBidi" w:cstheme="majorBidi"/>
          <w:sz w:val="20"/>
          <w:szCs w:val="20"/>
        </w:rPr>
        <w:t xml:space="preserve"> </w:t>
      </w:r>
      <w:r w:rsidR="00586714" w:rsidRPr="008E1DF4">
        <w:rPr>
          <w:rFonts w:asciiTheme="majorBidi" w:hAnsiTheme="majorBidi" w:cstheme="majorBidi"/>
          <w:sz w:val="20"/>
          <w:szCs w:val="20"/>
        </w:rPr>
        <w:t xml:space="preserve"> receptor</w:t>
      </w:r>
      <w:proofErr w:type="gramEnd"/>
      <w:r w:rsidR="00586714" w:rsidRPr="008E1DF4">
        <w:rPr>
          <w:rFonts w:asciiTheme="majorBidi" w:hAnsiTheme="majorBidi" w:cstheme="majorBidi"/>
          <w:sz w:val="20"/>
          <w:szCs w:val="20"/>
        </w:rPr>
        <w:t>. Cell 73: 1435-1444.</w:t>
      </w:r>
    </w:p>
    <w:p w:rsidR="006D4D22"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586714" w:rsidRPr="008E1DF4">
        <w:rPr>
          <w:rFonts w:asciiTheme="majorBidi" w:hAnsiTheme="majorBidi" w:cstheme="majorBidi"/>
          <w:sz w:val="20"/>
          <w:szCs w:val="20"/>
        </w:rPr>
        <w:t>21</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Sergarini, P. R. and Seyedin, S. M. (1988) J. Biol. Chem. 263, 8366±837.</w:t>
      </w:r>
    </w:p>
    <w:p w:rsidR="00512AE3"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proofErr w:type="gramStart"/>
      <w:r w:rsidRPr="008E1DF4">
        <w:rPr>
          <w:rFonts w:asciiTheme="majorBidi" w:hAnsiTheme="majorBidi" w:cstheme="majorBidi"/>
          <w:sz w:val="20"/>
          <w:szCs w:val="20"/>
        </w:rPr>
        <w:t>[</w:t>
      </w:r>
      <w:r w:rsidR="007355EF" w:rsidRPr="008E1DF4">
        <w:rPr>
          <w:rFonts w:asciiTheme="majorBidi" w:hAnsiTheme="majorBidi" w:cstheme="majorBidi"/>
          <w:sz w:val="20"/>
          <w:szCs w:val="20"/>
        </w:rPr>
        <w:t>22</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Bjorklund M., and Koivunen E. (2005).</w:t>
      </w:r>
      <w:proofErr w:type="gramEnd"/>
      <w:r w:rsidR="006D4D22" w:rsidRPr="008E1DF4">
        <w:rPr>
          <w:rFonts w:asciiTheme="majorBidi" w:hAnsiTheme="majorBidi" w:cstheme="majorBidi"/>
          <w:sz w:val="20"/>
          <w:szCs w:val="20"/>
        </w:rPr>
        <w:t xml:space="preserve"> </w:t>
      </w:r>
      <w:proofErr w:type="gramStart"/>
      <w:r w:rsidR="006D4D22" w:rsidRPr="008E1DF4">
        <w:rPr>
          <w:rFonts w:asciiTheme="majorBidi" w:hAnsiTheme="majorBidi" w:cstheme="majorBidi"/>
          <w:sz w:val="20"/>
          <w:szCs w:val="20"/>
        </w:rPr>
        <w:t>Gelatinase-mediated migration</w:t>
      </w:r>
      <w:r w:rsidR="00E8171E" w:rsidRPr="008E1DF4">
        <w:rPr>
          <w:rFonts w:asciiTheme="majorBidi" w:hAnsiTheme="majorBidi" w:cstheme="majorBidi"/>
          <w:sz w:val="20"/>
          <w:szCs w:val="20"/>
        </w:rPr>
        <w:t xml:space="preserve"> and invasion of cancer cells.</w:t>
      </w:r>
      <w:proofErr w:type="gramEnd"/>
      <w:r w:rsidR="00E8171E" w:rsidRPr="008E1DF4">
        <w:rPr>
          <w:rFonts w:asciiTheme="majorBidi" w:hAnsiTheme="majorBidi" w:cstheme="majorBidi"/>
          <w:sz w:val="20"/>
          <w:szCs w:val="20"/>
        </w:rPr>
        <w:t xml:space="preserve"> </w:t>
      </w:r>
      <w:r w:rsidR="00512AE3" w:rsidRPr="008E1DF4">
        <w:rPr>
          <w:rFonts w:asciiTheme="majorBidi" w:hAnsiTheme="majorBidi" w:cstheme="majorBidi"/>
          <w:sz w:val="20"/>
          <w:szCs w:val="20"/>
        </w:rPr>
        <w:t>Biochim Biophys Acta, 1755(1):37-69.</w:t>
      </w:r>
    </w:p>
    <w:p w:rsidR="00512AE3"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proofErr w:type="gramStart"/>
      <w:r w:rsidRPr="008E1DF4">
        <w:rPr>
          <w:rFonts w:asciiTheme="majorBidi" w:hAnsiTheme="majorBidi" w:cstheme="majorBidi"/>
          <w:sz w:val="20"/>
          <w:szCs w:val="20"/>
        </w:rPr>
        <w:t>[</w:t>
      </w:r>
      <w:r w:rsidR="007355EF" w:rsidRPr="008E1DF4">
        <w:rPr>
          <w:rFonts w:asciiTheme="majorBidi" w:hAnsiTheme="majorBidi" w:cstheme="majorBidi"/>
          <w:sz w:val="20"/>
          <w:szCs w:val="20"/>
        </w:rPr>
        <w:t>23</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Gallagher J.T., and Lyon M. (2000).</w:t>
      </w:r>
      <w:proofErr w:type="gramEnd"/>
      <w:r w:rsidR="006D4D22" w:rsidRPr="008E1DF4">
        <w:rPr>
          <w:rFonts w:asciiTheme="majorBidi" w:hAnsiTheme="majorBidi" w:cstheme="majorBidi"/>
          <w:sz w:val="20"/>
          <w:szCs w:val="20"/>
        </w:rPr>
        <w:t xml:space="preserve"> </w:t>
      </w:r>
      <w:proofErr w:type="gramStart"/>
      <w:r w:rsidR="006D4D22" w:rsidRPr="008E1DF4">
        <w:rPr>
          <w:rFonts w:asciiTheme="majorBidi" w:hAnsiTheme="majorBidi" w:cstheme="majorBidi"/>
          <w:sz w:val="20"/>
          <w:szCs w:val="20"/>
        </w:rPr>
        <w:t>Molecular structure of Heparan</w:t>
      </w:r>
      <w:r w:rsidR="00E8171E" w:rsidRPr="008E1DF4">
        <w:rPr>
          <w:rFonts w:asciiTheme="majorBidi" w:hAnsiTheme="majorBidi" w:cstheme="majorBidi"/>
          <w:sz w:val="20"/>
          <w:szCs w:val="20"/>
        </w:rPr>
        <w:t xml:space="preserve"> Sulfate and interactions with </w:t>
      </w:r>
      <w:r w:rsidR="00512AE3" w:rsidRPr="008E1DF4">
        <w:rPr>
          <w:rFonts w:asciiTheme="majorBidi" w:hAnsiTheme="majorBidi" w:cstheme="majorBidi"/>
          <w:sz w:val="20"/>
          <w:szCs w:val="20"/>
        </w:rPr>
        <w:t>growth factors and morphogens.</w:t>
      </w:r>
      <w:proofErr w:type="gramEnd"/>
      <w:r w:rsidR="00512AE3" w:rsidRPr="008E1DF4">
        <w:rPr>
          <w:rFonts w:asciiTheme="majorBidi" w:hAnsiTheme="majorBidi" w:cstheme="majorBidi"/>
          <w:sz w:val="20"/>
          <w:szCs w:val="20"/>
        </w:rPr>
        <w:t xml:space="preserve"> In Iozzo M.V. (</w:t>
      </w:r>
      <w:proofErr w:type="gramStart"/>
      <w:r w:rsidR="00512AE3" w:rsidRPr="008E1DF4">
        <w:rPr>
          <w:rFonts w:asciiTheme="majorBidi" w:hAnsiTheme="majorBidi" w:cstheme="majorBidi"/>
          <w:sz w:val="20"/>
          <w:szCs w:val="20"/>
        </w:rPr>
        <w:t>ed</w:t>
      </w:r>
      <w:proofErr w:type="gramEnd"/>
      <w:r w:rsidR="00512AE3" w:rsidRPr="008E1DF4">
        <w:rPr>
          <w:rFonts w:asciiTheme="majorBidi" w:hAnsiTheme="majorBidi" w:cstheme="majorBidi"/>
          <w:sz w:val="20"/>
          <w:szCs w:val="20"/>
        </w:rPr>
        <w:t>). Proteoglycans: st</w:t>
      </w:r>
      <w:r w:rsidR="00E8171E" w:rsidRPr="008E1DF4">
        <w:rPr>
          <w:rFonts w:asciiTheme="majorBidi" w:hAnsiTheme="majorBidi" w:cstheme="majorBidi"/>
          <w:sz w:val="20"/>
          <w:szCs w:val="20"/>
        </w:rPr>
        <w:t xml:space="preserve">ructure, biology and molecular </w:t>
      </w:r>
      <w:r w:rsidR="00512AE3" w:rsidRPr="008E1DF4">
        <w:rPr>
          <w:rFonts w:asciiTheme="majorBidi" w:hAnsiTheme="majorBidi" w:cstheme="majorBidi"/>
          <w:sz w:val="20"/>
          <w:szCs w:val="20"/>
        </w:rPr>
        <w:t xml:space="preserve">interactions. New York. </w:t>
      </w:r>
      <w:proofErr w:type="gramStart"/>
      <w:r w:rsidR="00512AE3" w:rsidRPr="008E1DF4">
        <w:rPr>
          <w:rFonts w:asciiTheme="majorBidi" w:hAnsiTheme="majorBidi" w:cstheme="majorBidi"/>
          <w:sz w:val="20"/>
          <w:szCs w:val="20"/>
        </w:rPr>
        <w:t>Marcel Dekker Inc. pp. 27-59.</w:t>
      </w:r>
      <w:proofErr w:type="gramEnd"/>
    </w:p>
    <w:p w:rsidR="00512AE3"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24</w:t>
      </w:r>
      <w:r w:rsidR="00A43C81"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Vilchis-Landeros M.M., Montiel JL., Mendoza V., Mendoza-Hernández G.</w:t>
      </w:r>
      <w:proofErr w:type="gramStart"/>
      <w:r w:rsidR="006D4D22" w:rsidRPr="008E1DF4">
        <w:rPr>
          <w:rFonts w:asciiTheme="majorBidi" w:hAnsiTheme="majorBidi" w:cstheme="majorBidi"/>
          <w:sz w:val="20"/>
          <w:szCs w:val="20"/>
        </w:rPr>
        <w:t>,</w:t>
      </w:r>
      <w:r w:rsidR="00E46B39" w:rsidRPr="008E1DF4">
        <w:rPr>
          <w:rFonts w:asciiTheme="majorBidi" w:hAnsiTheme="majorBidi" w:cstheme="majorBidi"/>
          <w:sz w:val="20"/>
          <w:szCs w:val="20"/>
        </w:rPr>
        <w:t>et</w:t>
      </w:r>
      <w:proofErr w:type="gramEnd"/>
      <w:r w:rsidR="00E46B39" w:rsidRPr="008E1DF4">
        <w:rPr>
          <w:rFonts w:asciiTheme="majorBidi" w:hAnsiTheme="majorBidi" w:cstheme="majorBidi"/>
          <w:sz w:val="20"/>
          <w:szCs w:val="20"/>
        </w:rPr>
        <w:t xml:space="preserve"> al </w:t>
      </w:r>
      <w:r w:rsidR="006D4D22" w:rsidRPr="008E1DF4">
        <w:rPr>
          <w:rFonts w:asciiTheme="majorBidi" w:hAnsiTheme="majorBidi" w:cstheme="majorBidi"/>
          <w:sz w:val="20"/>
          <w:szCs w:val="20"/>
        </w:rPr>
        <w:t>.</w:t>
      </w:r>
      <w:r w:rsidR="00E46B39"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 xml:space="preserve"> </w:t>
      </w:r>
      <w:r w:rsidR="009141DB" w:rsidRPr="008E1DF4">
        <w:rPr>
          <w:rFonts w:asciiTheme="majorBidi" w:hAnsiTheme="majorBidi" w:cstheme="majorBidi"/>
          <w:sz w:val="20"/>
          <w:szCs w:val="20"/>
        </w:rPr>
        <w:t xml:space="preserve"> </w:t>
      </w:r>
      <w:proofErr w:type="gramStart"/>
      <w:r w:rsidR="00E46B39" w:rsidRPr="008E1DF4">
        <w:rPr>
          <w:rFonts w:asciiTheme="majorBidi" w:hAnsiTheme="majorBidi" w:cstheme="majorBidi"/>
          <w:sz w:val="20"/>
          <w:szCs w:val="20"/>
        </w:rPr>
        <w:t>(</w:t>
      </w:r>
      <w:r w:rsidR="009141DB" w:rsidRPr="008E1DF4">
        <w:rPr>
          <w:rFonts w:asciiTheme="majorBidi" w:hAnsiTheme="majorBidi" w:cstheme="majorBidi"/>
          <w:sz w:val="20"/>
          <w:szCs w:val="20"/>
        </w:rPr>
        <w:t xml:space="preserve"> 2001</w:t>
      </w:r>
      <w:proofErr w:type="gramEnd"/>
      <w:r w:rsidR="009141DB" w:rsidRPr="008E1DF4">
        <w:rPr>
          <w:rFonts w:asciiTheme="majorBidi" w:hAnsiTheme="majorBidi" w:cstheme="majorBidi"/>
          <w:sz w:val="20"/>
          <w:szCs w:val="20"/>
        </w:rPr>
        <w:t>).  F. Recombinant soluble betaglycan is a potent and isoform</w:t>
      </w:r>
      <w:r w:rsidR="00E8171E" w:rsidRPr="008E1DF4">
        <w:rPr>
          <w:rFonts w:asciiTheme="majorBidi" w:hAnsiTheme="majorBidi" w:cstheme="majorBidi"/>
          <w:sz w:val="20"/>
          <w:szCs w:val="20"/>
        </w:rPr>
        <w:t xml:space="preserve">-selective transforming growth </w:t>
      </w:r>
      <w:r w:rsidR="00586714" w:rsidRPr="008E1DF4">
        <w:rPr>
          <w:rFonts w:asciiTheme="majorBidi" w:hAnsiTheme="majorBidi" w:cstheme="majorBidi"/>
          <w:sz w:val="20"/>
          <w:szCs w:val="20"/>
        </w:rPr>
        <w:t xml:space="preserve">factor </w:t>
      </w:r>
      <w:r w:rsidR="00512AE3" w:rsidRPr="008E1DF4">
        <w:rPr>
          <w:rFonts w:asciiTheme="majorBidi" w:hAnsiTheme="majorBidi" w:cstheme="majorBidi"/>
          <w:sz w:val="20"/>
          <w:szCs w:val="20"/>
        </w:rPr>
        <w:t xml:space="preserve"> neutralizing agent. Biochem J 355: 215–222.</w:t>
      </w:r>
    </w:p>
    <w:p w:rsidR="003E1EE1" w:rsidRPr="008E1DF4" w:rsidRDefault="007355EF"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[25</w:t>
      </w:r>
      <w:r w:rsidR="00E8171E" w:rsidRPr="008E1DF4">
        <w:rPr>
          <w:rFonts w:asciiTheme="majorBidi" w:hAnsiTheme="majorBidi" w:cstheme="majorBidi"/>
          <w:sz w:val="20"/>
          <w:szCs w:val="20"/>
        </w:rPr>
        <w:t>]</w:t>
      </w:r>
      <w:r w:rsidR="00A43C81" w:rsidRPr="008E1DF4">
        <w:rPr>
          <w:rFonts w:asciiTheme="majorBidi" w:hAnsiTheme="majorBidi" w:cstheme="majorBidi"/>
          <w:sz w:val="20"/>
          <w:szCs w:val="20"/>
        </w:rPr>
        <w:t xml:space="preserve"> </w:t>
      </w:r>
      <w:r w:rsidR="003E1EE1" w:rsidRPr="008E1DF4">
        <w:rPr>
          <w:rFonts w:asciiTheme="majorBidi" w:hAnsiTheme="majorBidi" w:cstheme="majorBidi"/>
          <w:sz w:val="20"/>
          <w:szCs w:val="20"/>
        </w:rPr>
        <w:t xml:space="preserve">Andres J.L., DeFalcis D., et al. (1992). </w:t>
      </w:r>
      <w:proofErr w:type="gramStart"/>
      <w:r w:rsidR="003E1EE1" w:rsidRPr="008E1DF4">
        <w:rPr>
          <w:rFonts w:asciiTheme="majorBidi" w:hAnsiTheme="majorBidi" w:cstheme="majorBidi"/>
          <w:sz w:val="20"/>
          <w:szCs w:val="20"/>
        </w:rPr>
        <w:t>Binding of two growth factor f</w:t>
      </w:r>
      <w:r w:rsidR="00E8171E" w:rsidRPr="008E1DF4">
        <w:rPr>
          <w:rFonts w:asciiTheme="majorBidi" w:hAnsiTheme="majorBidi" w:cstheme="majorBidi"/>
          <w:sz w:val="20"/>
          <w:szCs w:val="20"/>
        </w:rPr>
        <w:t xml:space="preserve">amilies to separate domains of </w:t>
      </w:r>
      <w:r w:rsidR="003E1EE1" w:rsidRPr="008E1DF4">
        <w:rPr>
          <w:rFonts w:asciiTheme="majorBidi" w:hAnsiTheme="majorBidi" w:cstheme="majorBidi"/>
          <w:sz w:val="20"/>
          <w:szCs w:val="20"/>
        </w:rPr>
        <w:t>the proteoglycan betaglycan.</w:t>
      </w:r>
      <w:proofErr w:type="gramEnd"/>
      <w:r w:rsidR="003E1EE1" w:rsidRPr="008E1DF4">
        <w:rPr>
          <w:rFonts w:asciiTheme="majorBidi" w:hAnsiTheme="majorBidi" w:cstheme="majorBidi"/>
          <w:sz w:val="20"/>
          <w:szCs w:val="20"/>
        </w:rPr>
        <w:t xml:space="preserve"> J. Biol. Chem, 267(9):5927-5930.</w:t>
      </w:r>
    </w:p>
    <w:p w:rsidR="00E46B39"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26</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 xml:space="preserve">Cohen, M.P., Sharma K., Jin Y., </w:t>
      </w:r>
      <w:proofErr w:type="gramStart"/>
      <w:r w:rsidR="006D4D22" w:rsidRPr="008E1DF4">
        <w:rPr>
          <w:rFonts w:asciiTheme="majorBidi" w:hAnsiTheme="majorBidi" w:cstheme="majorBidi"/>
          <w:sz w:val="20"/>
          <w:szCs w:val="20"/>
        </w:rPr>
        <w:t>Hud</w:t>
      </w:r>
      <w:proofErr w:type="gramEnd"/>
      <w:r w:rsidR="006D4D22" w:rsidRPr="008E1DF4">
        <w:rPr>
          <w:rFonts w:asciiTheme="majorBidi" w:hAnsiTheme="majorBidi" w:cstheme="majorBidi"/>
          <w:sz w:val="20"/>
          <w:szCs w:val="20"/>
        </w:rPr>
        <w:t xml:space="preserve"> E.,</w:t>
      </w:r>
      <w:r w:rsidR="00E46B39" w:rsidRPr="008E1DF4">
        <w:rPr>
          <w:rFonts w:asciiTheme="majorBidi" w:hAnsiTheme="majorBidi" w:cstheme="majorBidi"/>
          <w:sz w:val="20"/>
          <w:szCs w:val="20"/>
        </w:rPr>
        <w:t xml:space="preserve"> et al</w:t>
      </w:r>
      <w:r w:rsidR="006D4D22" w:rsidRPr="008E1DF4">
        <w:rPr>
          <w:rFonts w:asciiTheme="majorBidi" w:hAnsiTheme="majorBidi" w:cstheme="majorBidi"/>
          <w:sz w:val="20"/>
          <w:szCs w:val="20"/>
        </w:rPr>
        <w:t xml:space="preserve">. (1995).  Prevention </w:t>
      </w:r>
      <w:proofErr w:type="gramStart"/>
      <w:r w:rsidR="006D4D22" w:rsidRPr="008E1DF4">
        <w:rPr>
          <w:rFonts w:asciiTheme="majorBidi" w:hAnsiTheme="majorBidi" w:cstheme="majorBidi"/>
          <w:sz w:val="20"/>
          <w:szCs w:val="20"/>
        </w:rPr>
        <w:t>of</w:t>
      </w:r>
      <w:r w:rsidR="00E46B39" w:rsidRPr="008E1DF4">
        <w:rPr>
          <w:rFonts w:asciiTheme="majorBidi" w:hAnsiTheme="majorBidi" w:cstheme="majorBidi"/>
          <w:sz w:val="20"/>
          <w:szCs w:val="20"/>
        </w:rPr>
        <w:t xml:space="preserve">  diabetic</w:t>
      </w:r>
      <w:proofErr w:type="gramEnd"/>
      <w:r w:rsidR="00E46B39" w:rsidRPr="008E1DF4">
        <w:rPr>
          <w:rFonts w:asciiTheme="majorBidi" w:hAnsiTheme="majorBidi" w:cstheme="majorBidi"/>
          <w:sz w:val="20"/>
          <w:szCs w:val="20"/>
        </w:rPr>
        <w:t xml:space="preserve"> nephropathy in db/db    mice with glycanated albumin antagonists:</w:t>
      </w:r>
      <w:r w:rsidR="00E8171E" w:rsidRPr="008E1DF4">
        <w:rPr>
          <w:rFonts w:asciiTheme="majorBidi" w:hAnsiTheme="majorBidi" w:cstheme="majorBidi"/>
          <w:sz w:val="20"/>
          <w:szCs w:val="20"/>
        </w:rPr>
        <w:t xml:space="preserve"> a novel treatment strategy. J </w:t>
      </w:r>
      <w:r w:rsidR="00E46B39" w:rsidRPr="008E1DF4">
        <w:rPr>
          <w:rFonts w:asciiTheme="majorBidi" w:hAnsiTheme="majorBidi" w:cstheme="majorBidi"/>
          <w:sz w:val="20"/>
          <w:szCs w:val="20"/>
        </w:rPr>
        <w:t>Clin Invest 95: 2338-2345.</w:t>
      </w:r>
    </w:p>
    <w:p w:rsidR="00E46B39" w:rsidRPr="008E1DF4" w:rsidRDefault="00E46B39"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 xml:space="preserve"> </w:t>
      </w:r>
      <w:r w:rsidR="003C3E75" w:rsidRPr="008E1DF4">
        <w:rPr>
          <w:rFonts w:asciiTheme="majorBidi" w:hAnsiTheme="majorBidi" w:cstheme="majorBidi"/>
          <w:sz w:val="20"/>
          <w:szCs w:val="20"/>
        </w:rPr>
        <w:t>[</w:t>
      </w:r>
      <w:r w:rsidR="007355EF" w:rsidRPr="008E1DF4">
        <w:rPr>
          <w:rFonts w:asciiTheme="majorBidi" w:hAnsiTheme="majorBidi" w:cstheme="majorBidi"/>
          <w:sz w:val="20"/>
          <w:szCs w:val="20"/>
        </w:rPr>
        <w:t>27</w:t>
      </w:r>
      <w:r w:rsidR="003C3E75"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 xml:space="preserve">Juárez P., Vilchis-Landeros M.M., Ponce-Coria J., Mendoza V., </w:t>
      </w:r>
      <w:r w:rsidRPr="008E1DF4">
        <w:rPr>
          <w:rFonts w:asciiTheme="majorBidi" w:hAnsiTheme="majorBidi" w:cstheme="majorBidi"/>
          <w:sz w:val="20"/>
          <w:szCs w:val="20"/>
        </w:rPr>
        <w:t xml:space="preserve">et </w:t>
      </w:r>
      <w:r w:rsidR="00E8171E" w:rsidRPr="008E1DF4">
        <w:rPr>
          <w:rFonts w:asciiTheme="majorBidi" w:hAnsiTheme="majorBidi" w:cstheme="majorBidi"/>
          <w:sz w:val="20"/>
          <w:szCs w:val="20"/>
        </w:rPr>
        <w:t>al (2006), (Soluble betaglycan</w:t>
      </w:r>
      <w:r w:rsidRPr="008E1DF4">
        <w:rPr>
          <w:rFonts w:asciiTheme="majorBidi" w:hAnsiTheme="majorBidi" w:cstheme="majorBidi"/>
          <w:sz w:val="20"/>
          <w:szCs w:val="20"/>
        </w:rPr>
        <w:t>reduces renal damage p</w:t>
      </w:r>
      <w:r w:rsidR="00E8171E" w:rsidRPr="008E1DF4">
        <w:rPr>
          <w:rFonts w:asciiTheme="majorBidi" w:hAnsiTheme="majorBidi" w:cstheme="majorBidi"/>
          <w:sz w:val="20"/>
          <w:szCs w:val="20"/>
        </w:rPr>
        <w:t>rogression in db/db mice).</w:t>
      </w:r>
      <w:r w:rsidRPr="008E1DF4">
        <w:rPr>
          <w:rFonts w:asciiTheme="majorBidi" w:hAnsiTheme="majorBidi" w:cstheme="majorBidi"/>
          <w:sz w:val="20"/>
          <w:szCs w:val="20"/>
        </w:rPr>
        <w:t>Am J Physiol Renal Physiol 292:F321-F32.</w:t>
      </w:r>
    </w:p>
    <w:p w:rsidR="00512AE3" w:rsidRPr="008E1DF4" w:rsidRDefault="00E46B39"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 xml:space="preserve"> </w:t>
      </w:r>
      <w:r w:rsidR="003C3E75" w:rsidRPr="008E1DF4">
        <w:rPr>
          <w:rFonts w:asciiTheme="majorBidi" w:hAnsiTheme="majorBidi" w:cstheme="majorBidi"/>
          <w:sz w:val="20"/>
          <w:szCs w:val="20"/>
        </w:rPr>
        <w:t>[</w:t>
      </w:r>
      <w:r w:rsidR="007355EF" w:rsidRPr="008E1DF4">
        <w:rPr>
          <w:rFonts w:asciiTheme="majorBidi" w:hAnsiTheme="majorBidi" w:cstheme="majorBidi"/>
          <w:sz w:val="20"/>
          <w:szCs w:val="20"/>
        </w:rPr>
        <w:t>28</w:t>
      </w:r>
      <w:r w:rsidR="003C3E75"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López-Casillas F., Payne H.M., Andres J.L., Massague J. (1994).</w:t>
      </w:r>
      <w:r w:rsidR="00E8171E" w:rsidRPr="008E1DF4">
        <w:rPr>
          <w:rFonts w:asciiTheme="majorBidi" w:hAnsiTheme="majorBidi" w:cstheme="majorBidi"/>
          <w:sz w:val="20"/>
          <w:szCs w:val="20"/>
        </w:rPr>
        <w:t xml:space="preserve">  Betaglycan can act as a dual </w:t>
      </w:r>
      <w:r w:rsidR="00512AE3" w:rsidRPr="008E1DF4">
        <w:rPr>
          <w:rFonts w:asciiTheme="majorBidi" w:hAnsiTheme="majorBidi" w:cstheme="majorBidi"/>
          <w:sz w:val="20"/>
          <w:szCs w:val="20"/>
        </w:rPr>
        <w:t>modulator of TGF-β access to signaling receptors: mapping of ligand bin</w:t>
      </w:r>
      <w:r w:rsidR="00E8171E" w:rsidRPr="008E1DF4">
        <w:rPr>
          <w:rFonts w:asciiTheme="majorBidi" w:hAnsiTheme="majorBidi" w:cstheme="majorBidi"/>
          <w:sz w:val="20"/>
          <w:szCs w:val="20"/>
        </w:rPr>
        <w:t xml:space="preserve">ding and gag attachment sites. </w:t>
      </w:r>
      <w:r w:rsidR="00512AE3" w:rsidRPr="008E1DF4">
        <w:rPr>
          <w:rFonts w:asciiTheme="majorBidi" w:hAnsiTheme="majorBidi" w:cstheme="majorBidi"/>
          <w:sz w:val="20"/>
          <w:szCs w:val="20"/>
        </w:rPr>
        <w:t xml:space="preserve"> J Cell Biol 124: 557-568.</w:t>
      </w:r>
    </w:p>
    <w:p w:rsidR="00512AE3"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29</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 xml:space="preserve">Velasco-Loyden G., Arribas J., and López-Casillas F. (2004). The shedding of betaglycan is regulated </w:t>
      </w:r>
      <w:r w:rsidR="00512AE3" w:rsidRPr="008E1DF4">
        <w:rPr>
          <w:rFonts w:asciiTheme="majorBidi" w:hAnsiTheme="majorBidi" w:cstheme="majorBidi"/>
          <w:sz w:val="20"/>
          <w:szCs w:val="20"/>
        </w:rPr>
        <w:t>by pervanadate and mediated by membrane type matrix metallopro</w:t>
      </w:r>
      <w:r w:rsidR="00E8171E" w:rsidRPr="008E1DF4">
        <w:rPr>
          <w:rFonts w:asciiTheme="majorBidi" w:hAnsiTheme="majorBidi" w:cstheme="majorBidi"/>
          <w:sz w:val="20"/>
          <w:szCs w:val="20"/>
        </w:rPr>
        <w:t>tease-1. J Biol Chem 279: 7721</w:t>
      </w:r>
      <w:r w:rsidR="00512AE3" w:rsidRPr="008E1DF4">
        <w:rPr>
          <w:rFonts w:asciiTheme="majorBidi" w:hAnsiTheme="majorBidi" w:cstheme="majorBidi"/>
          <w:sz w:val="20"/>
          <w:szCs w:val="20"/>
        </w:rPr>
        <w:t>7733.</w:t>
      </w:r>
    </w:p>
    <w:p w:rsidR="00512AE3"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30</w:t>
      </w:r>
      <w:r w:rsidRPr="008E1DF4">
        <w:rPr>
          <w:rFonts w:asciiTheme="majorBidi" w:hAnsiTheme="majorBidi" w:cstheme="majorBidi"/>
          <w:sz w:val="20"/>
          <w:szCs w:val="20"/>
        </w:rPr>
        <w:t xml:space="preserve">] </w:t>
      </w:r>
      <w:r w:rsidR="00BD41DA" w:rsidRPr="008E1DF4">
        <w:rPr>
          <w:rFonts w:asciiTheme="majorBidi" w:hAnsiTheme="majorBidi" w:cstheme="majorBidi"/>
          <w:sz w:val="20"/>
          <w:szCs w:val="20"/>
        </w:rPr>
        <w:t>Juárez P., Vilchis-Landeros</w:t>
      </w:r>
      <w:r w:rsidR="006D4D22" w:rsidRPr="008E1DF4">
        <w:rPr>
          <w:rFonts w:asciiTheme="majorBidi" w:hAnsiTheme="majorBidi" w:cstheme="majorBidi"/>
          <w:sz w:val="20"/>
          <w:szCs w:val="20"/>
        </w:rPr>
        <w:t>, Ponce-Coria J</w:t>
      </w:r>
      <w:r w:rsidR="00BD41DA" w:rsidRPr="008E1DF4">
        <w:rPr>
          <w:rFonts w:asciiTheme="majorBidi" w:hAnsiTheme="majorBidi" w:cstheme="majorBidi"/>
          <w:sz w:val="20"/>
          <w:szCs w:val="20"/>
        </w:rPr>
        <w:t xml:space="preserve">. </w:t>
      </w:r>
      <w:r w:rsidR="00512AE3" w:rsidRPr="008E1DF4">
        <w:rPr>
          <w:rFonts w:asciiTheme="majorBidi" w:hAnsiTheme="majorBidi" w:cstheme="majorBidi"/>
          <w:sz w:val="20"/>
          <w:szCs w:val="20"/>
        </w:rPr>
        <w:t>and López-Casillas F. (2006</w:t>
      </w:r>
      <w:r w:rsidR="00E8171E" w:rsidRPr="008E1DF4">
        <w:rPr>
          <w:rFonts w:asciiTheme="majorBidi" w:hAnsiTheme="majorBidi" w:cstheme="majorBidi"/>
          <w:sz w:val="20"/>
          <w:szCs w:val="20"/>
        </w:rPr>
        <w:t xml:space="preserve">), (Soluble betaglycan reduces </w:t>
      </w:r>
      <w:r w:rsidR="00BD41DA" w:rsidRPr="008E1DF4">
        <w:rPr>
          <w:rFonts w:asciiTheme="majorBidi" w:hAnsiTheme="majorBidi" w:cstheme="majorBidi"/>
          <w:sz w:val="20"/>
          <w:szCs w:val="20"/>
        </w:rPr>
        <w:t>renal da</w:t>
      </w:r>
      <w:r w:rsidR="007E0356" w:rsidRPr="008E1DF4">
        <w:rPr>
          <w:rFonts w:asciiTheme="majorBidi" w:hAnsiTheme="majorBidi" w:cstheme="majorBidi"/>
          <w:sz w:val="20"/>
          <w:szCs w:val="20"/>
        </w:rPr>
        <w:t xml:space="preserve">mage progression in db/db mice). </w:t>
      </w:r>
      <w:r w:rsidR="00512AE3" w:rsidRPr="008E1DF4">
        <w:rPr>
          <w:rFonts w:asciiTheme="majorBidi" w:hAnsiTheme="majorBidi" w:cstheme="majorBidi"/>
          <w:sz w:val="20"/>
          <w:szCs w:val="20"/>
        </w:rPr>
        <w:t xml:space="preserve"> Am J Physiol Renal Physiol 292:F321-</w:t>
      </w:r>
      <w:proofErr w:type="gramStart"/>
      <w:r w:rsidR="00512AE3" w:rsidRPr="008E1DF4">
        <w:rPr>
          <w:rFonts w:asciiTheme="majorBidi" w:hAnsiTheme="majorBidi" w:cstheme="majorBidi"/>
          <w:sz w:val="20"/>
          <w:szCs w:val="20"/>
        </w:rPr>
        <w:t>F32.</w:t>
      </w:r>
      <w:proofErr w:type="gramEnd"/>
    </w:p>
    <w:p w:rsidR="006D4D22" w:rsidRPr="008E1DF4" w:rsidRDefault="00D57ADE"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lastRenderedPageBreak/>
        <w:t xml:space="preserve"> </w:t>
      </w:r>
      <w:r w:rsidR="003C3E75" w:rsidRPr="008E1DF4">
        <w:rPr>
          <w:rFonts w:asciiTheme="majorBidi" w:hAnsiTheme="majorBidi" w:cstheme="majorBidi"/>
          <w:sz w:val="20"/>
          <w:szCs w:val="20"/>
        </w:rPr>
        <w:t>[</w:t>
      </w:r>
      <w:r w:rsidR="007355EF" w:rsidRPr="008E1DF4">
        <w:rPr>
          <w:rFonts w:asciiTheme="majorBidi" w:hAnsiTheme="majorBidi" w:cstheme="majorBidi"/>
          <w:sz w:val="20"/>
          <w:szCs w:val="20"/>
        </w:rPr>
        <w:t>3</w:t>
      </w:r>
      <w:r w:rsidRPr="008E1DF4">
        <w:rPr>
          <w:rFonts w:asciiTheme="majorBidi" w:hAnsiTheme="majorBidi" w:cstheme="majorBidi"/>
          <w:sz w:val="20"/>
          <w:szCs w:val="20"/>
        </w:rPr>
        <w:t>1</w:t>
      </w:r>
      <w:r w:rsidR="003C3E75"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Crisan M, Yap S, Casteilla L, Chen CW, 2008</w:t>
      </w:r>
      <w:proofErr w:type="gramStart"/>
      <w:r w:rsidR="006D4D22" w:rsidRPr="008E1DF4">
        <w:rPr>
          <w:rFonts w:asciiTheme="majorBidi" w:hAnsiTheme="majorBidi" w:cstheme="majorBidi"/>
          <w:sz w:val="20"/>
          <w:szCs w:val="20"/>
        </w:rPr>
        <w:t>;3:301</w:t>
      </w:r>
      <w:proofErr w:type="gramEnd"/>
      <w:r w:rsidR="006D4D22" w:rsidRPr="008E1DF4">
        <w:rPr>
          <w:rFonts w:asciiTheme="majorBidi" w:hAnsiTheme="majorBidi" w:cstheme="majorBidi"/>
          <w:sz w:val="20"/>
          <w:szCs w:val="20"/>
        </w:rPr>
        <w:t xml:space="preserve">–313. </w:t>
      </w:r>
      <w:proofErr w:type="gramStart"/>
      <w:r w:rsidR="006D4D22" w:rsidRPr="008E1DF4">
        <w:rPr>
          <w:rFonts w:asciiTheme="majorBidi" w:hAnsiTheme="majorBidi" w:cstheme="majorBidi"/>
          <w:sz w:val="20"/>
          <w:szCs w:val="20"/>
        </w:rPr>
        <w:t>[PubMed].</w:t>
      </w:r>
      <w:proofErr w:type="gramEnd"/>
    </w:p>
    <w:p w:rsidR="001C54D1" w:rsidRPr="008E1DF4" w:rsidRDefault="00E93B7C"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[3</w:t>
      </w:r>
      <w:r w:rsidR="00D57ADE" w:rsidRPr="008E1DF4">
        <w:rPr>
          <w:rFonts w:asciiTheme="majorBidi" w:hAnsiTheme="majorBidi" w:cstheme="majorBidi"/>
          <w:sz w:val="20"/>
          <w:szCs w:val="20"/>
        </w:rPr>
        <w:t>2</w:t>
      </w:r>
      <w:r w:rsidR="001C54D1" w:rsidRPr="008E1DF4">
        <w:rPr>
          <w:rFonts w:asciiTheme="majorBidi" w:hAnsiTheme="majorBidi" w:cstheme="majorBidi"/>
          <w:sz w:val="20"/>
          <w:szCs w:val="20"/>
        </w:rPr>
        <w:t>]</w:t>
      </w:r>
      <w:r w:rsidR="00A43C81" w:rsidRPr="008E1DF4">
        <w:rPr>
          <w:rFonts w:asciiTheme="majorBidi" w:hAnsiTheme="majorBidi" w:cstheme="majorBidi"/>
          <w:sz w:val="20"/>
          <w:szCs w:val="20"/>
        </w:rPr>
        <w:t xml:space="preserve"> </w:t>
      </w:r>
      <w:r w:rsidR="001C54D1" w:rsidRPr="008E1DF4">
        <w:rPr>
          <w:rFonts w:asciiTheme="majorBidi" w:hAnsiTheme="majorBidi" w:cstheme="majorBidi"/>
          <w:sz w:val="20"/>
          <w:szCs w:val="20"/>
        </w:rPr>
        <w:t xml:space="preserve">John Willey, 2007 </w:t>
      </w:r>
    </w:p>
    <w:p w:rsidR="006D4D22"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E93B7C" w:rsidRPr="008E1DF4">
        <w:rPr>
          <w:rFonts w:asciiTheme="majorBidi" w:hAnsiTheme="majorBidi" w:cstheme="majorBidi"/>
          <w:sz w:val="20"/>
          <w:szCs w:val="20"/>
        </w:rPr>
        <w:t>3</w:t>
      </w:r>
      <w:r w:rsidR="00D57ADE" w:rsidRPr="008E1DF4">
        <w:rPr>
          <w:rFonts w:asciiTheme="majorBidi" w:hAnsiTheme="majorBidi" w:cstheme="majorBidi"/>
          <w:sz w:val="20"/>
          <w:szCs w:val="20"/>
        </w:rPr>
        <w:t>3</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Plotkin MD, Goligorsky MSAm J Physiol Renal Physiol. 2006</w:t>
      </w:r>
      <w:proofErr w:type="gramStart"/>
      <w:r w:rsidR="006D4D22" w:rsidRPr="008E1DF4">
        <w:rPr>
          <w:rFonts w:asciiTheme="majorBidi" w:hAnsiTheme="majorBidi" w:cstheme="majorBidi"/>
          <w:sz w:val="20"/>
          <w:szCs w:val="20"/>
        </w:rPr>
        <w:t>;291:F902</w:t>
      </w:r>
      <w:proofErr w:type="gramEnd"/>
      <w:r w:rsidR="006D4D22" w:rsidRPr="008E1DF4">
        <w:rPr>
          <w:rFonts w:asciiTheme="majorBidi" w:hAnsiTheme="majorBidi" w:cstheme="majorBidi"/>
          <w:sz w:val="20"/>
          <w:szCs w:val="20"/>
        </w:rPr>
        <w:t>–F912. [PubMed]</w:t>
      </w:r>
    </w:p>
    <w:p w:rsidR="003D2119"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E93B7C" w:rsidRPr="008E1DF4">
        <w:rPr>
          <w:rFonts w:asciiTheme="majorBidi" w:hAnsiTheme="majorBidi" w:cstheme="majorBidi"/>
          <w:sz w:val="20"/>
          <w:szCs w:val="20"/>
        </w:rPr>
        <w:t>3</w:t>
      </w:r>
      <w:r w:rsidR="00D57ADE" w:rsidRPr="008E1DF4">
        <w:rPr>
          <w:rFonts w:asciiTheme="majorBidi" w:hAnsiTheme="majorBidi" w:cstheme="majorBidi"/>
          <w:sz w:val="20"/>
          <w:szCs w:val="20"/>
        </w:rPr>
        <w:t>4</w:t>
      </w:r>
      <w:r w:rsidRPr="008E1DF4">
        <w:rPr>
          <w:rFonts w:asciiTheme="majorBidi" w:hAnsiTheme="majorBidi" w:cstheme="majorBidi"/>
          <w:sz w:val="20"/>
          <w:szCs w:val="20"/>
        </w:rPr>
        <w:t>]</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t>Phillips A.O., Steadman R., and Topley N., et al</w:t>
      </w:r>
      <w:proofErr w:type="gramStart"/>
      <w:r w:rsidR="006D4D22" w:rsidRPr="008E1DF4">
        <w:rPr>
          <w:rFonts w:asciiTheme="majorBidi" w:hAnsiTheme="majorBidi" w:cstheme="majorBidi"/>
          <w:sz w:val="20"/>
          <w:szCs w:val="20"/>
        </w:rPr>
        <w:t>.(</w:t>
      </w:r>
      <w:proofErr w:type="gramEnd"/>
      <w:r w:rsidR="006D4D22" w:rsidRPr="008E1DF4">
        <w:rPr>
          <w:rFonts w:asciiTheme="majorBidi" w:hAnsiTheme="majorBidi" w:cstheme="majorBidi"/>
          <w:sz w:val="20"/>
          <w:szCs w:val="20"/>
        </w:rPr>
        <w:t>1995). Elevated D-g</w:t>
      </w:r>
      <w:r w:rsidR="00E8171E" w:rsidRPr="008E1DF4">
        <w:rPr>
          <w:rFonts w:asciiTheme="majorBidi" w:hAnsiTheme="majorBidi" w:cstheme="majorBidi"/>
          <w:sz w:val="20"/>
          <w:szCs w:val="20"/>
        </w:rPr>
        <w:t>lucose concentrations modulate</w:t>
      </w:r>
      <w:r w:rsidR="003D2119" w:rsidRPr="008E1DF4">
        <w:rPr>
          <w:rFonts w:asciiTheme="majorBidi" w:hAnsiTheme="majorBidi" w:cstheme="majorBidi"/>
          <w:sz w:val="20"/>
          <w:szCs w:val="20"/>
        </w:rPr>
        <w:t xml:space="preserve">GF-β1 synthesis by human cultured renal proximal tubular cells: </w:t>
      </w:r>
      <w:r w:rsidR="00E8171E" w:rsidRPr="008E1DF4">
        <w:rPr>
          <w:rFonts w:asciiTheme="majorBidi" w:hAnsiTheme="majorBidi" w:cstheme="majorBidi"/>
          <w:sz w:val="20"/>
          <w:szCs w:val="20"/>
        </w:rPr>
        <w:t>The permissive role of platelet</w:t>
      </w:r>
      <w:r w:rsidR="003D2119" w:rsidRPr="008E1DF4">
        <w:rPr>
          <w:rFonts w:asciiTheme="majorBidi" w:hAnsiTheme="majorBidi" w:cstheme="majorBidi"/>
          <w:sz w:val="20"/>
          <w:szCs w:val="20"/>
        </w:rPr>
        <w:t xml:space="preserve">T derived growth factor. </w:t>
      </w:r>
      <w:proofErr w:type="gramStart"/>
      <w:r w:rsidR="003D2119" w:rsidRPr="008E1DF4">
        <w:rPr>
          <w:rFonts w:asciiTheme="majorBidi" w:hAnsiTheme="majorBidi" w:cstheme="majorBidi"/>
          <w:sz w:val="20"/>
          <w:szCs w:val="20"/>
        </w:rPr>
        <w:t>Am J Pathol .147: 362−374.</w:t>
      </w:r>
      <w:proofErr w:type="gramEnd"/>
    </w:p>
    <w:p w:rsidR="003D2119"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3</w:t>
      </w:r>
      <w:r w:rsidR="00D57ADE" w:rsidRPr="008E1DF4">
        <w:rPr>
          <w:rFonts w:asciiTheme="majorBidi" w:hAnsiTheme="majorBidi" w:cstheme="majorBidi"/>
          <w:sz w:val="20"/>
          <w:szCs w:val="20"/>
        </w:rPr>
        <w:t>5</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 xml:space="preserve">Phillips A.O., Topley N., and Morrisey K et al. (1997). Basic fibroblast growth factor stimulates the </w:t>
      </w:r>
      <w:r w:rsidR="00E8171E" w:rsidRPr="008E1DF4">
        <w:rPr>
          <w:rFonts w:asciiTheme="majorBidi" w:hAnsiTheme="majorBidi" w:cstheme="majorBidi"/>
          <w:sz w:val="20"/>
          <w:szCs w:val="20"/>
        </w:rPr>
        <w:t xml:space="preserve">    </w:t>
      </w:r>
      <w:r w:rsidR="003D2119" w:rsidRPr="008E1DF4">
        <w:rPr>
          <w:rFonts w:asciiTheme="majorBidi" w:hAnsiTheme="majorBidi" w:cstheme="majorBidi"/>
          <w:sz w:val="20"/>
          <w:szCs w:val="20"/>
        </w:rPr>
        <w:t>release of pre-formed TGF-β1 from human proximal tubular cell</w:t>
      </w:r>
      <w:r w:rsidR="00E8171E" w:rsidRPr="008E1DF4">
        <w:rPr>
          <w:rFonts w:asciiTheme="majorBidi" w:hAnsiTheme="majorBidi" w:cstheme="majorBidi"/>
          <w:sz w:val="20"/>
          <w:szCs w:val="20"/>
        </w:rPr>
        <w:t xml:space="preserve">s in the absence of de-novo </w:t>
      </w:r>
      <w:proofErr w:type="gramStart"/>
      <w:r w:rsidR="00E8171E" w:rsidRPr="008E1DF4">
        <w:rPr>
          <w:rFonts w:asciiTheme="majorBidi" w:hAnsiTheme="majorBidi" w:cstheme="majorBidi"/>
          <w:sz w:val="20"/>
          <w:szCs w:val="20"/>
        </w:rPr>
        <w:t xml:space="preserve">g  </w:t>
      </w:r>
      <w:r w:rsidR="003D2119" w:rsidRPr="008E1DF4">
        <w:rPr>
          <w:rFonts w:asciiTheme="majorBidi" w:hAnsiTheme="majorBidi" w:cstheme="majorBidi"/>
          <w:sz w:val="20"/>
          <w:szCs w:val="20"/>
        </w:rPr>
        <w:t>transcription</w:t>
      </w:r>
      <w:proofErr w:type="gramEnd"/>
      <w:r w:rsidR="003D2119" w:rsidRPr="008E1DF4">
        <w:rPr>
          <w:rFonts w:asciiTheme="majorBidi" w:hAnsiTheme="majorBidi" w:cstheme="majorBidi"/>
          <w:sz w:val="20"/>
          <w:szCs w:val="20"/>
        </w:rPr>
        <w:t xml:space="preserve"> or mRNA translation. Lab Invest .76: 591−600.</w:t>
      </w:r>
    </w:p>
    <w:p w:rsidR="003D2119"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proofErr w:type="gramStart"/>
      <w:r w:rsidRPr="008E1DF4">
        <w:rPr>
          <w:rFonts w:asciiTheme="majorBidi" w:hAnsiTheme="majorBidi" w:cstheme="majorBidi"/>
          <w:sz w:val="20"/>
          <w:szCs w:val="20"/>
        </w:rPr>
        <w:t>[</w:t>
      </w:r>
      <w:r w:rsidR="007355EF" w:rsidRPr="008E1DF4">
        <w:rPr>
          <w:rFonts w:asciiTheme="majorBidi" w:hAnsiTheme="majorBidi" w:cstheme="majorBidi"/>
          <w:sz w:val="20"/>
          <w:szCs w:val="20"/>
        </w:rPr>
        <w:t>3</w:t>
      </w:r>
      <w:r w:rsidR="00D57ADE" w:rsidRPr="008E1DF4">
        <w:rPr>
          <w:rFonts w:asciiTheme="majorBidi" w:hAnsiTheme="majorBidi" w:cstheme="majorBidi"/>
          <w:sz w:val="20"/>
          <w:szCs w:val="20"/>
        </w:rPr>
        <w:t>6</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Ehiers M. R. W., and Riordan J. F. (1991).</w:t>
      </w:r>
      <w:proofErr w:type="gramEnd"/>
      <w:r w:rsidR="006D4D22" w:rsidRPr="008E1DF4">
        <w:rPr>
          <w:rFonts w:asciiTheme="majorBidi" w:hAnsiTheme="majorBidi" w:cstheme="majorBidi"/>
          <w:sz w:val="20"/>
          <w:szCs w:val="20"/>
        </w:rPr>
        <w:t xml:space="preserve"> Membrane proteins with</w:t>
      </w:r>
      <w:r w:rsidR="00E8171E" w:rsidRPr="008E1DF4">
        <w:rPr>
          <w:rFonts w:asciiTheme="majorBidi" w:hAnsiTheme="majorBidi" w:cstheme="majorBidi"/>
          <w:sz w:val="20"/>
          <w:szCs w:val="20"/>
        </w:rPr>
        <w:t xml:space="preserve"> soluble counterparts: role of </w:t>
      </w:r>
      <w:r w:rsidR="003D2119" w:rsidRPr="008E1DF4">
        <w:rPr>
          <w:rFonts w:asciiTheme="majorBidi" w:hAnsiTheme="majorBidi" w:cstheme="majorBidi"/>
          <w:sz w:val="20"/>
          <w:szCs w:val="20"/>
        </w:rPr>
        <w:t xml:space="preserve">proteolysis in the release of transmembrane proteins. </w:t>
      </w:r>
      <w:proofErr w:type="gramStart"/>
      <w:r w:rsidR="003D2119" w:rsidRPr="008E1DF4">
        <w:rPr>
          <w:rFonts w:asciiTheme="majorBidi" w:hAnsiTheme="majorBidi" w:cstheme="majorBidi"/>
          <w:sz w:val="20"/>
          <w:szCs w:val="20"/>
        </w:rPr>
        <w:t>Biochemistry.</w:t>
      </w:r>
      <w:proofErr w:type="gramEnd"/>
      <w:r w:rsidR="003D2119" w:rsidRPr="008E1DF4">
        <w:rPr>
          <w:rFonts w:asciiTheme="majorBidi" w:hAnsiTheme="majorBidi" w:cstheme="majorBidi"/>
          <w:sz w:val="20"/>
          <w:szCs w:val="20"/>
        </w:rPr>
        <w:t xml:space="preserve"> 30:10065-10074.</w:t>
      </w:r>
    </w:p>
    <w:p w:rsidR="003D2119"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3</w:t>
      </w:r>
      <w:r w:rsidR="00D57ADE" w:rsidRPr="008E1DF4">
        <w:rPr>
          <w:rFonts w:asciiTheme="majorBidi" w:hAnsiTheme="majorBidi" w:cstheme="majorBidi"/>
          <w:sz w:val="20"/>
          <w:szCs w:val="20"/>
        </w:rPr>
        <w:t>7</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Isaka Y., Tsujie M., Ando Y, et al (2000).Transforming growth f</w:t>
      </w:r>
      <w:r w:rsidR="00E8171E" w:rsidRPr="008E1DF4">
        <w:rPr>
          <w:rFonts w:asciiTheme="majorBidi" w:hAnsiTheme="majorBidi" w:cstheme="majorBidi"/>
          <w:sz w:val="20"/>
          <w:szCs w:val="20"/>
        </w:rPr>
        <w:t xml:space="preserve">actor-beta1antisenseoligodeoxy </w:t>
      </w:r>
      <w:r w:rsidR="003D2119" w:rsidRPr="008E1DF4">
        <w:rPr>
          <w:rFonts w:asciiTheme="majorBidi" w:hAnsiTheme="majorBidi" w:cstheme="majorBidi"/>
          <w:sz w:val="20"/>
          <w:szCs w:val="20"/>
        </w:rPr>
        <w:t>nucleotides block interstitial fibrosis in unilateral ureteral obstruction. Kidney Int, 58:1885-1892.</w:t>
      </w:r>
    </w:p>
    <w:p w:rsidR="003D2119"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3</w:t>
      </w:r>
      <w:r w:rsidR="00D57ADE" w:rsidRPr="008E1DF4">
        <w:rPr>
          <w:rFonts w:asciiTheme="majorBidi" w:hAnsiTheme="majorBidi" w:cstheme="majorBidi"/>
          <w:sz w:val="20"/>
          <w:szCs w:val="20"/>
        </w:rPr>
        <w:t>8</w:t>
      </w:r>
      <w:r w:rsidR="00A43C81"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Han D.C., Hoffman B.B., Hong S.W., Guo J</w:t>
      </w:r>
      <w:r w:rsidR="00E46B39" w:rsidRPr="008E1DF4">
        <w:rPr>
          <w:rFonts w:asciiTheme="majorBidi" w:hAnsiTheme="majorBidi" w:cstheme="majorBidi"/>
          <w:sz w:val="20"/>
          <w:szCs w:val="20"/>
        </w:rPr>
        <w:t>,</w:t>
      </w:r>
      <w:r w:rsidR="006D4D22" w:rsidRPr="008E1DF4">
        <w:rPr>
          <w:rFonts w:asciiTheme="majorBidi" w:hAnsiTheme="majorBidi" w:cstheme="majorBidi"/>
          <w:sz w:val="20"/>
          <w:szCs w:val="20"/>
        </w:rPr>
        <w:t>.</w:t>
      </w:r>
      <w:proofErr w:type="gramStart"/>
      <w:r w:rsidR="006D4D22" w:rsidRPr="008E1DF4">
        <w:rPr>
          <w:rFonts w:asciiTheme="majorBidi" w:hAnsiTheme="majorBidi" w:cstheme="majorBidi"/>
          <w:sz w:val="20"/>
          <w:szCs w:val="20"/>
        </w:rPr>
        <w:t>,</w:t>
      </w:r>
      <w:r w:rsidR="00E46B39" w:rsidRPr="008E1DF4">
        <w:rPr>
          <w:rFonts w:asciiTheme="majorBidi" w:hAnsiTheme="majorBidi" w:cstheme="majorBidi"/>
          <w:sz w:val="20"/>
          <w:szCs w:val="20"/>
        </w:rPr>
        <w:t>et</w:t>
      </w:r>
      <w:proofErr w:type="gramEnd"/>
      <w:r w:rsidR="00E46B39" w:rsidRPr="008E1DF4">
        <w:rPr>
          <w:rFonts w:asciiTheme="majorBidi" w:hAnsiTheme="majorBidi" w:cstheme="majorBidi"/>
          <w:sz w:val="20"/>
          <w:szCs w:val="20"/>
        </w:rPr>
        <w:t xml:space="preserve"> al</w:t>
      </w:r>
      <w:r w:rsidR="006D4D22" w:rsidRPr="008E1DF4">
        <w:rPr>
          <w:rFonts w:asciiTheme="majorBidi" w:hAnsiTheme="majorBidi" w:cstheme="majorBidi"/>
          <w:sz w:val="20"/>
          <w:szCs w:val="20"/>
        </w:rPr>
        <w:t>. (2000</w:t>
      </w:r>
      <w:r w:rsidR="00E8171E" w:rsidRPr="008E1DF4">
        <w:rPr>
          <w:rFonts w:asciiTheme="majorBidi" w:hAnsiTheme="majorBidi" w:cstheme="majorBidi"/>
          <w:sz w:val="20"/>
          <w:szCs w:val="20"/>
        </w:rPr>
        <w:t>) . Therapy with antisense TGF-</w:t>
      </w:r>
      <w:r w:rsidR="003D2119" w:rsidRPr="008E1DF4">
        <w:rPr>
          <w:rFonts w:asciiTheme="majorBidi" w:hAnsiTheme="majorBidi" w:cstheme="majorBidi"/>
          <w:sz w:val="20"/>
          <w:szCs w:val="20"/>
        </w:rPr>
        <w:t xml:space="preserve">beta1oligodeoxy nucleotides reduces kidney weight and matrix RNAs </w:t>
      </w:r>
      <w:r w:rsidR="00E8171E" w:rsidRPr="008E1DF4">
        <w:rPr>
          <w:rFonts w:asciiTheme="majorBidi" w:hAnsiTheme="majorBidi" w:cstheme="majorBidi"/>
          <w:sz w:val="20"/>
          <w:szCs w:val="20"/>
        </w:rPr>
        <w:t xml:space="preserve">in diabetic mice. Am J Physiol </w:t>
      </w:r>
      <w:r w:rsidR="003D2119" w:rsidRPr="008E1DF4">
        <w:rPr>
          <w:rFonts w:asciiTheme="majorBidi" w:hAnsiTheme="majorBidi" w:cstheme="majorBidi"/>
          <w:sz w:val="20"/>
          <w:szCs w:val="20"/>
        </w:rPr>
        <w:t>Renal Physiol, 278(4):F628-</w:t>
      </w:r>
      <w:proofErr w:type="gramStart"/>
      <w:r w:rsidR="003D2119" w:rsidRPr="008E1DF4">
        <w:rPr>
          <w:rFonts w:asciiTheme="majorBidi" w:hAnsiTheme="majorBidi" w:cstheme="majorBidi"/>
          <w:sz w:val="20"/>
          <w:szCs w:val="20"/>
        </w:rPr>
        <w:t>634.</w:t>
      </w:r>
      <w:proofErr w:type="gramEnd"/>
    </w:p>
    <w:p w:rsidR="003D2119" w:rsidRPr="008E1DF4" w:rsidRDefault="003C3E75"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D57ADE" w:rsidRPr="008E1DF4">
        <w:rPr>
          <w:rFonts w:asciiTheme="majorBidi" w:hAnsiTheme="majorBidi" w:cstheme="majorBidi"/>
          <w:sz w:val="20"/>
          <w:szCs w:val="20"/>
        </w:rPr>
        <w:t>39</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Ji C., Chen Y., McCarthy T. L., Centrella M.  (1999)</w:t>
      </w:r>
      <w:proofErr w:type="gramStart"/>
      <w:r w:rsidR="006D4D22" w:rsidRPr="008E1DF4">
        <w:rPr>
          <w:rFonts w:asciiTheme="majorBidi" w:hAnsiTheme="majorBidi" w:cstheme="majorBidi"/>
          <w:sz w:val="20"/>
          <w:szCs w:val="20"/>
        </w:rPr>
        <w:t>.  Cloning</w:t>
      </w:r>
      <w:proofErr w:type="gramEnd"/>
      <w:r w:rsidR="006D4D22" w:rsidRPr="008E1DF4">
        <w:rPr>
          <w:rFonts w:asciiTheme="majorBidi" w:hAnsiTheme="majorBidi" w:cstheme="majorBidi"/>
          <w:sz w:val="20"/>
          <w:szCs w:val="20"/>
        </w:rPr>
        <w:t xml:space="preserve"> the Pr</w:t>
      </w:r>
      <w:r w:rsidR="00E8171E" w:rsidRPr="008E1DF4">
        <w:rPr>
          <w:rFonts w:asciiTheme="majorBidi" w:hAnsiTheme="majorBidi" w:cstheme="majorBidi"/>
          <w:sz w:val="20"/>
          <w:szCs w:val="20"/>
        </w:rPr>
        <w:t>omoter for Transforming Growth</w:t>
      </w:r>
      <w:r w:rsidR="003D2119" w:rsidRPr="008E1DF4">
        <w:rPr>
          <w:rFonts w:asciiTheme="majorBidi" w:hAnsiTheme="majorBidi" w:cstheme="majorBidi"/>
          <w:sz w:val="20"/>
          <w:szCs w:val="20"/>
        </w:rPr>
        <w:t>Factor-b Type III Receptor. J. Biol. Chem. 274:30487-30494.</w:t>
      </w:r>
    </w:p>
    <w:p w:rsidR="003D2119"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D57ADE" w:rsidRPr="008E1DF4">
        <w:rPr>
          <w:rFonts w:asciiTheme="majorBidi" w:hAnsiTheme="majorBidi" w:cstheme="majorBidi"/>
          <w:sz w:val="20"/>
          <w:szCs w:val="20"/>
        </w:rPr>
        <w:t>40</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Centrella, M., Casinghino S., Kim J., Pham T</w:t>
      </w:r>
      <w:r w:rsidR="00E46B39" w:rsidRPr="008E1DF4">
        <w:rPr>
          <w:rFonts w:asciiTheme="majorBidi" w:hAnsiTheme="majorBidi" w:cstheme="majorBidi"/>
          <w:sz w:val="20"/>
          <w:szCs w:val="20"/>
        </w:rPr>
        <w:t>, et al</w:t>
      </w:r>
      <w:r w:rsidR="006D4D22" w:rsidRPr="008E1DF4">
        <w:rPr>
          <w:rFonts w:asciiTheme="majorBidi" w:hAnsiTheme="majorBidi" w:cstheme="majorBidi"/>
          <w:sz w:val="20"/>
          <w:szCs w:val="20"/>
        </w:rPr>
        <w:t xml:space="preserve">.  </w:t>
      </w:r>
      <w:proofErr w:type="gramStart"/>
      <w:r w:rsidR="006D4D22" w:rsidRPr="008E1DF4">
        <w:rPr>
          <w:rFonts w:asciiTheme="majorBidi" w:hAnsiTheme="majorBidi" w:cstheme="majorBidi"/>
          <w:sz w:val="20"/>
          <w:szCs w:val="20"/>
        </w:rPr>
        <w:t>(1995).</w:t>
      </w:r>
      <w:r w:rsidR="003D2119" w:rsidRPr="008E1DF4">
        <w:rPr>
          <w:rFonts w:asciiTheme="majorBidi" w:hAnsiTheme="majorBidi" w:cstheme="majorBidi"/>
          <w:sz w:val="20"/>
          <w:szCs w:val="20"/>
        </w:rPr>
        <w:t>Independent changes in type I and type II receptors for transformin</w:t>
      </w:r>
      <w:r w:rsidR="00E8171E" w:rsidRPr="008E1DF4">
        <w:rPr>
          <w:rFonts w:asciiTheme="majorBidi" w:hAnsiTheme="majorBidi" w:cstheme="majorBidi"/>
          <w:sz w:val="20"/>
          <w:szCs w:val="20"/>
        </w:rPr>
        <w:t xml:space="preserve">g growth factor beta induced by </w:t>
      </w:r>
      <w:r w:rsidR="003D2119" w:rsidRPr="008E1DF4">
        <w:rPr>
          <w:rFonts w:asciiTheme="majorBidi" w:hAnsiTheme="majorBidi" w:cstheme="majorBidi"/>
          <w:sz w:val="20"/>
          <w:szCs w:val="20"/>
        </w:rPr>
        <w:t>bone morphogenetic protein 2 parallel expression of the osteoblas</w:t>
      </w:r>
      <w:r w:rsidR="00E8171E" w:rsidRPr="008E1DF4">
        <w:rPr>
          <w:rFonts w:asciiTheme="majorBidi" w:hAnsiTheme="majorBidi" w:cstheme="majorBidi"/>
          <w:sz w:val="20"/>
          <w:szCs w:val="20"/>
        </w:rPr>
        <w:t>t phenotype.</w:t>
      </w:r>
      <w:proofErr w:type="gramEnd"/>
      <w:r w:rsidR="00E8171E" w:rsidRPr="008E1DF4">
        <w:rPr>
          <w:rFonts w:asciiTheme="majorBidi" w:hAnsiTheme="majorBidi" w:cstheme="majorBidi"/>
          <w:sz w:val="20"/>
          <w:szCs w:val="20"/>
        </w:rPr>
        <w:t xml:space="preserve">  Mol. Cell. Biol, </w:t>
      </w:r>
      <w:r w:rsidR="003D2119" w:rsidRPr="008E1DF4">
        <w:rPr>
          <w:rFonts w:asciiTheme="majorBidi" w:hAnsiTheme="majorBidi" w:cstheme="majorBidi"/>
          <w:sz w:val="20"/>
          <w:szCs w:val="20"/>
        </w:rPr>
        <w:t>15:3273-3281.</w:t>
      </w:r>
    </w:p>
    <w:p w:rsidR="00FC0987" w:rsidRPr="008E1DF4" w:rsidRDefault="007355EF"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[4</w:t>
      </w:r>
      <w:r w:rsidR="00D57ADE" w:rsidRPr="008E1DF4">
        <w:rPr>
          <w:rFonts w:asciiTheme="majorBidi" w:hAnsiTheme="majorBidi" w:cstheme="majorBidi"/>
          <w:sz w:val="20"/>
          <w:szCs w:val="20"/>
        </w:rPr>
        <w:t>1</w:t>
      </w:r>
      <w:r w:rsidR="00A43C81" w:rsidRPr="008E1DF4">
        <w:rPr>
          <w:rFonts w:asciiTheme="majorBidi" w:hAnsiTheme="majorBidi" w:cstheme="majorBidi"/>
          <w:sz w:val="20"/>
          <w:szCs w:val="20"/>
        </w:rPr>
        <w:t xml:space="preserve">] </w:t>
      </w:r>
      <w:r w:rsidR="00C7545E" w:rsidRPr="008E1DF4">
        <w:rPr>
          <w:rFonts w:asciiTheme="majorBidi" w:hAnsiTheme="majorBidi" w:cstheme="majorBidi"/>
          <w:sz w:val="20"/>
          <w:szCs w:val="20"/>
        </w:rPr>
        <w:t>Kohan D.E. (1991).  Endothelin synthesis by renal tubule cells.Am J Physiol 261(2 Pt 2): F221-6.</w:t>
      </w:r>
      <w:r w:rsidR="00FC0987" w:rsidRPr="008E1DF4">
        <w:rPr>
          <w:rFonts w:asciiTheme="majorBidi" w:hAnsiTheme="majorBidi" w:cstheme="majorBidi"/>
          <w:sz w:val="20"/>
          <w:szCs w:val="20"/>
        </w:rPr>
        <w:t xml:space="preserve">   </w:t>
      </w:r>
    </w:p>
    <w:p w:rsidR="00204C08"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4</w:t>
      </w:r>
      <w:r w:rsidR="00D57ADE" w:rsidRPr="008E1DF4">
        <w:rPr>
          <w:rFonts w:asciiTheme="majorBidi" w:hAnsiTheme="majorBidi" w:cstheme="majorBidi"/>
          <w:sz w:val="20"/>
          <w:szCs w:val="20"/>
        </w:rPr>
        <w:t>2</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Rider C.C. (</w:t>
      </w:r>
      <w:proofErr w:type="gramStart"/>
      <w:r w:rsidR="006D4D22" w:rsidRPr="008E1DF4">
        <w:rPr>
          <w:rFonts w:asciiTheme="majorBidi" w:hAnsiTheme="majorBidi" w:cstheme="majorBidi"/>
          <w:sz w:val="20"/>
          <w:szCs w:val="20"/>
        </w:rPr>
        <w:t>2006 )</w:t>
      </w:r>
      <w:proofErr w:type="gramEnd"/>
      <w:r w:rsidR="006D4D22" w:rsidRPr="008E1DF4">
        <w:rPr>
          <w:rFonts w:asciiTheme="majorBidi" w:hAnsiTheme="majorBidi" w:cstheme="majorBidi"/>
          <w:sz w:val="20"/>
          <w:szCs w:val="20"/>
        </w:rPr>
        <w:t xml:space="preserve">. </w:t>
      </w:r>
      <w:proofErr w:type="gramStart"/>
      <w:r w:rsidR="006D4D22" w:rsidRPr="008E1DF4">
        <w:rPr>
          <w:rFonts w:asciiTheme="majorBidi" w:hAnsiTheme="majorBidi" w:cstheme="majorBidi"/>
          <w:sz w:val="20"/>
          <w:szCs w:val="20"/>
        </w:rPr>
        <w:t xml:space="preserve">Heparin/heparan sulphate binding in the TGF-beta </w:t>
      </w:r>
      <w:r w:rsidR="00E8171E" w:rsidRPr="008E1DF4">
        <w:rPr>
          <w:rFonts w:asciiTheme="majorBidi" w:hAnsiTheme="majorBidi" w:cstheme="majorBidi"/>
          <w:sz w:val="20"/>
          <w:szCs w:val="20"/>
        </w:rPr>
        <w:t>cytokine superfamily.</w:t>
      </w:r>
      <w:proofErr w:type="gramEnd"/>
      <w:r w:rsidR="00E8171E" w:rsidRPr="008E1DF4">
        <w:rPr>
          <w:rFonts w:asciiTheme="majorBidi" w:hAnsiTheme="majorBidi" w:cstheme="majorBidi"/>
          <w:sz w:val="20"/>
          <w:szCs w:val="20"/>
        </w:rPr>
        <w:t xml:space="preserve">  Biochem</w:t>
      </w:r>
      <w:r w:rsidR="00204C08" w:rsidRPr="008E1DF4">
        <w:rPr>
          <w:rFonts w:asciiTheme="majorBidi" w:hAnsiTheme="majorBidi" w:cstheme="majorBidi"/>
          <w:sz w:val="20"/>
          <w:szCs w:val="20"/>
        </w:rPr>
        <w:t xml:space="preserve"> Soc Trans.  34(Pt 3):458-60.</w:t>
      </w:r>
    </w:p>
    <w:p w:rsidR="00204C08"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7355EF" w:rsidRPr="008E1DF4">
        <w:rPr>
          <w:rFonts w:asciiTheme="majorBidi" w:hAnsiTheme="majorBidi" w:cstheme="majorBidi"/>
          <w:sz w:val="20"/>
          <w:szCs w:val="20"/>
        </w:rPr>
        <w:t>4</w:t>
      </w:r>
      <w:r w:rsidR="00D57ADE" w:rsidRPr="008E1DF4">
        <w:rPr>
          <w:rFonts w:asciiTheme="majorBidi" w:hAnsiTheme="majorBidi" w:cstheme="majorBidi"/>
          <w:sz w:val="20"/>
          <w:szCs w:val="20"/>
        </w:rPr>
        <w:t>3</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 xml:space="preserve">Chun-Lin </w:t>
      </w:r>
      <w:proofErr w:type="gramStart"/>
      <w:r w:rsidR="006D4D22" w:rsidRPr="008E1DF4">
        <w:rPr>
          <w:rFonts w:asciiTheme="majorBidi" w:hAnsiTheme="majorBidi" w:cstheme="majorBidi"/>
          <w:sz w:val="20"/>
          <w:szCs w:val="20"/>
        </w:rPr>
        <w:t>Chen.,</w:t>
      </w:r>
      <w:proofErr w:type="gramEnd"/>
      <w:r w:rsidR="006D4D22" w:rsidRPr="008E1DF4">
        <w:rPr>
          <w:rFonts w:asciiTheme="majorBidi" w:hAnsiTheme="majorBidi" w:cstheme="majorBidi"/>
          <w:sz w:val="20"/>
          <w:szCs w:val="20"/>
        </w:rPr>
        <w:t xml:space="preserve"> Shuan Shian Huang., and Jung San Huang. (2006)</w:t>
      </w:r>
      <w:proofErr w:type="gramStart"/>
      <w:r w:rsidR="006D4D22" w:rsidRPr="008E1DF4">
        <w:rPr>
          <w:rFonts w:asciiTheme="majorBidi" w:hAnsiTheme="majorBidi" w:cstheme="majorBidi"/>
          <w:sz w:val="20"/>
          <w:szCs w:val="20"/>
        </w:rPr>
        <w:t>.  Cellular</w:t>
      </w:r>
      <w:proofErr w:type="gramEnd"/>
      <w:r w:rsidR="006D4D22" w:rsidRPr="008E1DF4">
        <w:rPr>
          <w:rFonts w:asciiTheme="majorBidi" w:hAnsiTheme="majorBidi" w:cstheme="majorBidi"/>
          <w:sz w:val="20"/>
          <w:szCs w:val="20"/>
        </w:rPr>
        <w:t xml:space="preserve"> Heparan Sulfate</w:t>
      </w:r>
      <w:r w:rsidR="00204C08" w:rsidRPr="008E1DF4">
        <w:rPr>
          <w:rFonts w:asciiTheme="majorBidi" w:hAnsiTheme="majorBidi" w:cstheme="majorBidi"/>
          <w:sz w:val="20"/>
          <w:szCs w:val="20"/>
        </w:rPr>
        <w:t>Negatively Modulates Transforming Growth Factor-β1(TGF-β) Respo</w:t>
      </w:r>
      <w:r w:rsidR="00E8171E" w:rsidRPr="008E1DF4">
        <w:rPr>
          <w:rFonts w:asciiTheme="majorBidi" w:hAnsiTheme="majorBidi" w:cstheme="majorBidi"/>
          <w:sz w:val="20"/>
          <w:szCs w:val="20"/>
        </w:rPr>
        <w:t>nsiveness in Epithelial Cells.</w:t>
      </w:r>
      <w:r w:rsidR="00204C08" w:rsidRPr="008E1DF4">
        <w:rPr>
          <w:rFonts w:asciiTheme="majorBidi" w:hAnsiTheme="majorBidi" w:cstheme="majorBidi"/>
          <w:sz w:val="20"/>
          <w:szCs w:val="20"/>
        </w:rPr>
        <w:t xml:space="preserve">The journal of  biological chemistry.  </w:t>
      </w:r>
      <w:proofErr w:type="gramStart"/>
      <w:r w:rsidR="00204C08" w:rsidRPr="008E1DF4">
        <w:rPr>
          <w:rFonts w:asciiTheme="majorBidi" w:hAnsiTheme="majorBidi" w:cstheme="majorBidi"/>
          <w:sz w:val="20"/>
          <w:szCs w:val="20"/>
        </w:rPr>
        <w:t>Vol. 281, NO.</w:t>
      </w:r>
      <w:proofErr w:type="gramEnd"/>
      <w:r w:rsidR="00204C08" w:rsidRPr="008E1DF4">
        <w:rPr>
          <w:rFonts w:asciiTheme="majorBidi" w:hAnsiTheme="majorBidi" w:cstheme="majorBidi"/>
          <w:sz w:val="20"/>
          <w:szCs w:val="20"/>
        </w:rPr>
        <w:t xml:space="preserve"> 17, pp. 11506-11514.</w:t>
      </w:r>
    </w:p>
    <w:p w:rsidR="00204C08"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proofErr w:type="gramStart"/>
      <w:r w:rsidRPr="008E1DF4">
        <w:rPr>
          <w:rFonts w:asciiTheme="majorBidi" w:hAnsiTheme="majorBidi" w:cstheme="majorBidi"/>
          <w:sz w:val="20"/>
          <w:szCs w:val="20"/>
        </w:rPr>
        <w:t>[</w:t>
      </w:r>
      <w:r w:rsidR="00E93B7C" w:rsidRPr="008E1DF4">
        <w:rPr>
          <w:rFonts w:asciiTheme="majorBidi" w:hAnsiTheme="majorBidi" w:cstheme="majorBidi"/>
          <w:sz w:val="20"/>
          <w:szCs w:val="20"/>
        </w:rPr>
        <w:t>4</w:t>
      </w:r>
      <w:r w:rsidR="00D57ADE" w:rsidRPr="008E1DF4">
        <w:rPr>
          <w:rFonts w:asciiTheme="majorBidi" w:hAnsiTheme="majorBidi" w:cstheme="majorBidi"/>
          <w:sz w:val="20"/>
          <w:szCs w:val="20"/>
        </w:rPr>
        <w:t>4</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Hulpiau P., and van Roy F. (2009).</w:t>
      </w:r>
      <w:proofErr w:type="gramEnd"/>
      <w:r w:rsidR="006D4D22" w:rsidRPr="008E1DF4">
        <w:rPr>
          <w:rFonts w:asciiTheme="majorBidi" w:hAnsiTheme="majorBidi" w:cstheme="majorBidi"/>
          <w:sz w:val="20"/>
          <w:szCs w:val="20"/>
        </w:rPr>
        <w:t xml:space="preserve"> </w:t>
      </w:r>
      <w:proofErr w:type="gramStart"/>
      <w:r w:rsidR="006D4D22" w:rsidRPr="008E1DF4">
        <w:rPr>
          <w:rFonts w:asciiTheme="majorBidi" w:hAnsiTheme="majorBidi" w:cstheme="majorBidi"/>
          <w:sz w:val="20"/>
          <w:szCs w:val="20"/>
        </w:rPr>
        <w:t>Molecular evolution of the cadherin</w:t>
      </w:r>
      <w:r w:rsidR="00E8171E" w:rsidRPr="008E1DF4">
        <w:rPr>
          <w:rFonts w:asciiTheme="majorBidi" w:hAnsiTheme="majorBidi" w:cstheme="majorBidi"/>
          <w:sz w:val="20"/>
          <w:szCs w:val="20"/>
        </w:rPr>
        <w:t xml:space="preserve"> superfamily.</w:t>
      </w:r>
      <w:proofErr w:type="gramEnd"/>
      <w:r w:rsidR="00E8171E" w:rsidRPr="008E1DF4">
        <w:rPr>
          <w:rFonts w:asciiTheme="majorBidi" w:hAnsiTheme="majorBidi" w:cstheme="majorBidi"/>
          <w:sz w:val="20"/>
          <w:szCs w:val="20"/>
        </w:rPr>
        <w:t xml:space="preserve"> Int. J. Biochem.</w:t>
      </w:r>
      <w:r w:rsidR="00204C08" w:rsidRPr="008E1DF4">
        <w:rPr>
          <w:rFonts w:asciiTheme="majorBidi" w:hAnsiTheme="majorBidi" w:cstheme="majorBidi"/>
          <w:sz w:val="20"/>
          <w:szCs w:val="20"/>
        </w:rPr>
        <w:t>Cell Biol, 41(2):349-69.</w:t>
      </w:r>
    </w:p>
    <w:p w:rsidR="00204C08"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lastRenderedPageBreak/>
        <w:t>[</w:t>
      </w:r>
      <w:r w:rsidR="00E93B7C" w:rsidRPr="008E1DF4">
        <w:rPr>
          <w:rFonts w:asciiTheme="majorBidi" w:hAnsiTheme="majorBidi" w:cstheme="majorBidi"/>
          <w:sz w:val="20"/>
          <w:szCs w:val="20"/>
        </w:rPr>
        <w:t>4</w:t>
      </w:r>
      <w:r w:rsidR="00D57ADE" w:rsidRPr="008E1DF4">
        <w:rPr>
          <w:rFonts w:asciiTheme="majorBidi" w:hAnsiTheme="majorBidi" w:cstheme="majorBidi"/>
          <w:sz w:val="20"/>
          <w:szCs w:val="20"/>
        </w:rPr>
        <w:t>5</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 xml:space="preserve">Angst B., Marcozzi C., and Magee A. (February 2001). The cadherin </w:t>
      </w:r>
      <w:r w:rsidR="00E8171E" w:rsidRPr="008E1DF4">
        <w:rPr>
          <w:rFonts w:asciiTheme="majorBidi" w:hAnsiTheme="majorBidi" w:cstheme="majorBidi"/>
          <w:sz w:val="20"/>
          <w:szCs w:val="20"/>
        </w:rPr>
        <w:t xml:space="preserve">superfamily: diversity in form </w:t>
      </w:r>
      <w:r w:rsidR="00204C08" w:rsidRPr="008E1DF4">
        <w:rPr>
          <w:rFonts w:asciiTheme="majorBidi" w:hAnsiTheme="majorBidi" w:cstheme="majorBidi"/>
          <w:sz w:val="20"/>
          <w:szCs w:val="20"/>
        </w:rPr>
        <w:t>and function. J Cell Sci, 114(Pt 4):629-41</w:t>
      </w:r>
    </w:p>
    <w:p w:rsidR="00204C08"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E93B7C" w:rsidRPr="008E1DF4">
        <w:rPr>
          <w:rFonts w:asciiTheme="majorBidi" w:hAnsiTheme="majorBidi" w:cstheme="majorBidi"/>
          <w:sz w:val="20"/>
          <w:szCs w:val="20"/>
        </w:rPr>
        <w:t>4</w:t>
      </w:r>
      <w:r w:rsidR="00D57ADE" w:rsidRPr="008E1DF4">
        <w:rPr>
          <w:rFonts w:asciiTheme="majorBidi" w:hAnsiTheme="majorBidi" w:cstheme="majorBidi"/>
          <w:sz w:val="20"/>
          <w:szCs w:val="20"/>
        </w:rPr>
        <w:t>6</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Ueyama H., Bruns G.</w:t>
      </w:r>
      <w:proofErr w:type="gramStart"/>
      <w:r w:rsidR="006D4D22" w:rsidRPr="008E1DF4">
        <w:rPr>
          <w:rFonts w:asciiTheme="majorBidi" w:hAnsiTheme="majorBidi" w:cstheme="majorBidi"/>
          <w:sz w:val="20"/>
          <w:szCs w:val="20"/>
        </w:rPr>
        <w:t>,and</w:t>
      </w:r>
      <w:proofErr w:type="gramEnd"/>
      <w:r w:rsidR="006D4D22" w:rsidRPr="008E1DF4">
        <w:rPr>
          <w:rFonts w:asciiTheme="majorBidi" w:hAnsiTheme="majorBidi" w:cstheme="majorBidi"/>
          <w:sz w:val="20"/>
          <w:szCs w:val="20"/>
        </w:rPr>
        <w:t xml:space="preserve"> Kanda N. (1990). </w:t>
      </w:r>
      <w:proofErr w:type="gramStart"/>
      <w:r w:rsidR="006D4D22" w:rsidRPr="008E1DF4">
        <w:rPr>
          <w:rFonts w:asciiTheme="majorBidi" w:hAnsiTheme="majorBidi" w:cstheme="majorBidi"/>
          <w:sz w:val="20"/>
          <w:szCs w:val="20"/>
        </w:rPr>
        <w:t>Assignment of the vas</w:t>
      </w:r>
      <w:r w:rsidR="00E8171E" w:rsidRPr="008E1DF4">
        <w:rPr>
          <w:rFonts w:asciiTheme="majorBidi" w:hAnsiTheme="majorBidi" w:cstheme="majorBidi"/>
          <w:sz w:val="20"/>
          <w:szCs w:val="20"/>
        </w:rPr>
        <w:t xml:space="preserve">cular smooth muscle actin gene </w:t>
      </w:r>
      <w:r w:rsidR="00204C08" w:rsidRPr="008E1DF4">
        <w:rPr>
          <w:rFonts w:asciiTheme="majorBidi" w:hAnsiTheme="majorBidi" w:cstheme="majorBidi"/>
          <w:sz w:val="20"/>
          <w:szCs w:val="20"/>
        </w:rPr>
        <w:t>ACTSA to human chromosome 10.</w:t>
      </w:r>
      <w:proofErr w:type="gramEnd"/>
      <w:r w:rsidR="00204C08" w:rsidRPr="008E1DF4">
        <w:rPr>
          <w:rFonts w:asciiTheme="majorBidi" w:hAnsiTheme="majorBidi" w:cstheme="majorBidi"/>
          <w:sz w:val="20"/>
          <w:szCs w:val="20"/>
        </w:rPr>
        <w:t xml:space="preserve"> Jinrui Idengaku Zasshi 35 (2): 145–50.</w:t>
      </w:r>
    </w:p>
    <w:p w:rsidR="00204C08"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E93B7C" w:rsidRPr="008E1DF4">
        <w:rPr>
          <w:rFonts w:asciiTheme="majorBidi" w:hAnsiTheme="majorBidi" w:cstheme="majorBidi"/>
          <w:sz w:val="20"/>
          <w:szCs w:val="20"/>
        </w:rPr>
        <w:t>4</w:t>
      </w:r>
      <w:r w:rsidR="00D57ADE" w:rsidRPr="008E1DF4">
        <w:rPr>
          <w:rFonts w:asciiTheme="majorBidi" w:hAnsiTheme="majorBidi" w:cstheme="majorBidi"/>
          <w:sz w:val="20"/>
          <w:szCs w:val="20"/>
        </w:rPr>
        <w:t>7</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Chebotareva N.V., Proppe D., Rudolf P., and Kozlovskaia LV</w:t>
      </w:r>
      <w:proofErr w:type="gramStart"/>
      <w:r w:rsidR="006D4D22" w:rsidRPr="008E1DF4">
        <w:rPr>
          <w:rFonts w:asciiTheme="majorBidi" w:hAnsiTheme="majorBidi" w:cstheme="majorBidi"/>
          <w:sz w:val="20"/>
          <w:szCs w:val="20"/>
        </w:rPr>
        <w:t>.(</w:t>
      </w:r>
      <w:proofErr w:type="gramEnd"/>
      <w:r w:rsidR="006D4D22" w:rsidRPr="008E1DF4">
        <w:rPr>
          <w:rFonts w:asciiTheme="majorBidi" w:hAnsiTheme="majorBidi" w:cstheme="majorBidi"/>
          <w:sz w:val="20"/>
          <w:szCs w:val="20"/>
        </w:rPr>
        <w:t xml:space="preserve"> 20</w:t>
      </w:r>
      <w:r w:rsidR="00E8171E" w:rsidRPr="008E1DF4">
        <w:rPr>
          <w:rFonts w:asciiTheme="majorBidi" w:hAnsiTheme="majorBidi" w:cstheme="majorBidi"/>
          <w:sz w:val="20"/>
          <w:szCs w:val="20"/>
        </w:rPr>
        <w:t xml:space="preserve">02).  Clinical significance of </w:t>
      </w:r>
      <w:r w:rsidR="00204C08" w:rsidRPr="008E1DF4">
        <w:rPr>
          <w:rFonts w:asciiTheme="majorBidi" w:hAnsiTheme="majorBidi" w:cstheme="majorBidi"/>
          <w:sz w:val="20"/>
          <w:szCs w:val="20"/>
        </w:rPr>
        <w:t>expression of the smooth muscle actin-alpha and CD34</w:t>
      </w:r>
      <w:r w:rsidR="00E8171E" w:rsidRPr="008E1DF4">
        <w:rPr>
          <w:rFonts w:asciiTheme="majorBidi" w:hAnsiTheme="majorBidi" w:cstheme="majorBidi"/>
          <w:sz w:val="20"/>
          <w:szCs w:val="20"/>
        </w:rPr>
        <w:t xml:space="preserve"> antigen in mesangial cells in </w:t>
      </w:r>
      <w:r w:rsidR="00204C08" w:rsidRPr="008E1DF4">
        <w:rPr>
          <w:rFonts w:asciiTheme="majorBidi" w:hAnsiTheme="majorBidi" w:cstheme="majorBidi"/>
          <w:sz w:val="20"/>
          <w:szCs w:val="20"/>
        </w:rPr>
        <w:t>glomerulonephritis.  Ter Arkh, 74(6):27-31.</w:t>
      </w:r>
    </w:p>
    <w:p w:rsidR="00204C08"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proofErr w:type="gramStart"/>
      <w:r w:rsidRPr="008E1DF4">
        <w:rPr>
          <w:rFonts w:asciiTheme="majorBidi" w:hAnsiTheme="majorBidi" w:cstheme="majorBidi"/>
          <w:sz w:val="20"/>
          <w:szCs w:val="20"/>
        </w:rPr>
        <w:t>[</w:t>
      </w:r>
      <w:r w:rsidR="00E93B7C" w:rsidRPr="008E1DF4">
        <w:rPr>
          <w:rFonts w:asciiTheme="majorBidi" w:hAnsiTheme="majorBidi" w:cstheme="majorBidi"/>
          <w:sz w:val="20"/>
          <w:szCs w:val="20"/>
        </w:rPr>
        <w:t>4</w:t>
      </w:r>
      <w:r w:rsidR="00D57ADE" w:rsidRPr="008E1DF4">
        <w:rPr>
          <w:rFonts w:asciiTheme="majorBidi" w:hAnsiTheme="majorBidi" w:cstheme="majorBidi"/>
          <w:sz w:val="20"/>
          <w:szCs w:val="20"/>
        </w:rPr>
        <w:t>8</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De</w:t>
      </w:r>
      <w:r w:rsidR="00C264F9" w:rsidRPr="008E1DF4">
        <w:rPr>
          <w:rFonts w:asciiTheme="majorBidi" w:hAnsiTheme="majorBidi" w:cstheme="majorBidi"/>
          <w:sz w:val="20"/>
          <w:szCs w:val="20"/>
        </w:rPr>
        <w:t xml:space="preserve"> Autocrine and Exogenous Transforming Growth Factor (TGF) </w:t>
      </w:r>
      <w:r w:rsidR="00E8171E" w:rsidRPr="008E1DF4">
        <w:rPr>
          <w:rFonts w:asciiTheme="majorBidi" w:hAnsiTheme="majorBidi" w:cstheme="majorBidi"/>
          <w:sz w:val="20"/>
          <w:szCs w:val="20"/>
        </w:rPr>
        <w:t xml:space="preserve">ß1 in Cells with Nonfunctional </w:t>
      </w:r>
      <w:r w:rsidR="00C264F9" w:rsidRPr="008E1DF4">
        <w:rPr>
          <w:rFonts w:asciiTheme="majorBidi" w:hAnsiTheme="majorBidi" w:cstheme="majorBidi"/>
          <w:sz w:val="20"/>
          <w:szCs w:val="20"/>
        </w:rPr>
        <w:t>TGF-ß Receptor Type III.</w:t>
      </w:r>
      <w:proofErr w:type="gramEnd"/>
      <w:r w:rsidR="00C264F9" w:rsidRPr="008E1DF4">
        <w:rPr>
          <w:rFonts w:asciiTheme="majorBidi" w:hAnsiTheme="majorBidi" w:cstheme="majorBidi"/>
          <w:sz w:val="20"/>
          <w:szCs w:val="20"/>
        </w:rPr>
        <w:t xml:space="preserve"> </w:t>
      </w:r>
      <w:proofErr w:type="gramStart"/>
      <w:r w:rsidR="00C264F9" w:rsidRPr="008E1DF4">
        <w:rPr>
          <w:rFonts w:asciiTheme="majorBidi" w:hAnsiTheme="majorBidi" w:cstheme="majorBidi"/>
          <w:sz w:val="20"/>
          <w:szCs w:val="20"/>
        </w:rPr>
        <w:t>(Cell Growth &amp; Differentiation Vol. 10, 11-18.</w:t>
      </w:r>
      <w:r w:rsidR="00204C08" w:rsidRPr="008E1DF4">
        <w:rPr>
          <w:rFonts w:asciiTheme="majorBidi" w:hAnsiTheme="majorBidi" w:cstheme="majorBidi"/>
          <w:sz w:val="20"/>
          <w:szCs w:val="20"/>
        </w:rPr>
        <w:t xml:space="preserve"> ng X., Bellis S., Zhongfa Yan., and Eileen Friedman.</w:t>
      </w:r>
      <w:proofErr w:type="gramEnd"/>
      <w:r w:rsidR="00204C08" w:rsidRPr="008E1DF4">
        <w:rPr>
          <w:rFonts w:asciiTheme="majorBidi" w:hAnsiTheme="majorBidi" w:cstheme="majorBidi"/>
          <w:sz w:val="20"/>
          <w:szCs w:val="20"/>
        </w:rPr>
        <w:t xml:space="preserve"> (1999). Differential Responsiveness to</w:t>
      </w:r>
    </w:p>
    <w:p w:rsidR="00C264F9"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D57ADE" w:rsidRPr="008E1DF4">
        <w:rPr>
          <w:rFonts w:asciiTheme="majorBidi" w:hAnsiTheme="majorBidi" w:cstheme="majorBidi"/>
          <w:sz w:val="20"/>
          <w:szCs w:val="20"/>
        </w:rPr>
        <w:t>49</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Brown C. B., Boyer A. S., Runyan R. B.</w:t>
      </w:r>
      <w:proofErr w:type="gramStart"/>
      <w:r w:rsidR="006D4D22" w:rsidRPr="008E1DF4">
        <w:rPr>
          <w:rFonts w:asciiTheme="majorBidi" w:hAnsiTheme="majorBidi" w:cstheme="majorBidi"/>
          <w:sz w:val="20"/>
          <w:szCs w:val="20"/>
        </w:rPr>
        <w:t>,  Joey</w:t>
      </w:r>
      <w:proofErr w:type="gramEnd"/>
      <w:r w:rsidR="006D4D22" w:rsidRPr="008E1DF4">
        <w:rPr>
          <w:rFonts w:asciiTheme="majorBidi" w:hAnsiTheme="majorBidi" w:cstheme="majorBidi"/>
          <w:sz w:val="20"/>
          <w:szCs w:val="20"/>
        </w:rPr>
        <w:t xml:space="preserve"> V.,</w:t>
      </w:r>
      <w:r w:rsidR="001141AC" w:rsidRPr="008E1DF4">
        <w:rPr>
          <w:rFonts w:asciiTheme="majorBidi" w:hAnsiTheme="majorBidi" w:cstheme="majorBidi"/>
          <w:sz w:val="20"/>
          <w:szCs w:val="20"/>
        </w:rPr>
        <w:t xml:space="preserve"> et al</w:t>
      </w:r>
      <w:r w:rsidR="006D4D22" w:rsidRPr="008E1DF4">
        <w:rPr>
          <w:rFonts w:asciiTheme="majorBidi" w:hAnsiTheme="majorBidi" w:cstheme="majorBidi"/>
          <w:sz w:val="20"/>
          <w:szCs w:val="20"/>
        </w:rPr>
        <w:t>. (1999</w:t>
      </w:r>
      <w:r w:rsidR="00E8171E" w:rsidRPr="008E1DF4">
        <w:rPr>
          <w:rFonts w:asciiTheme="majorBidi" w:hAnsiTheme="majorBidi" w:cstheme="majorBidi"/>
          <w:sz w:val="20"/>
          <w:szCs w:val="20"/>
        </w:rPr>
        <w:t xml:space="preserve">). </w:t>
      </w:r>
      <w:proofErr w:type="gramStart"/>
      <w:r w:rsidR="00E8171E" w:rsidRPr="008E1DF4">
        <w:rPr>
          <w:rFonts w:asciiTheme="majorBidi" w:hAnsiTheme="majorBidi" w:cstheme="majorBidi"/>
          <w:sz w:val="20"/>
          <w:szCs w:val="20"/>
        </w:rPr>
        <w:t>Requirement of Type III TGF-</w:t>
      </w:r>
      <w:r w:rsidR="00C264F9" w:rsidRPr="008E1DF4">
        <w:rPr>
          <w:rFonts w:asciiTheme="majorBidi" w:hAnsiTheme="majorBidi" w:cstheme="majorBidi"/>
          <w:sz w:val="20"/>
          <w:szCs w:val="20"/>
        </w:rPr>
        <w:t>β Receptor for Endocardial Cell Transformation in the Heart.</w:t>
      </w:r>
      <w:proofErr w:type="gramEnd"/>
      <w:r w:rsidR="00C264F9" w:rsidRPr="008E1DF4">
        <w:rPr>
          <w:rFonts w:asciiTheme="majorBidi" w:hAnsiTheme="majorBidi" w:cstheme="majorBidi"/>
          <w:sz w:val="20"/>
          <w:szCs w:val="20"/>
        </w:rPr>
        <w:t xml:space="preserve"> </w:t>
      </w:r>
      <w:proofErr w:type="gramStart"/>
      <w:r w:rsidR="00C264F9" w:rsidRPr="008E1DF4">
        <w:rPr>
          <w:rFonts w:asciiTheme="majorBidi" w:hAnsiTheme="majorBidi" w:cstheme="majorBidi"/>
          <w:sz w:val="20"/>
          <w:szCs w:val="20"/>
        </w:rPr>
        <w:t xml:space="preserve">American </w:t>
      </w:r>
      <w:r w:rsidR="00E8171E" w:rsidRPr="008E1DF4">
        <w:rPr>
          <w:rFonts w:asciiTheme="majorBidi" w:hAnsiTheme="majorBidi" w:cstheme="majorBidi"/>
          <w:sz w:val="20"/>
          <w:szCs w:val="20"/>
        </w:rPr>
        <w:t>Journal Experts.</w:t>
      </w:r>
      <w:proofErr w:type="gramEnd"/>
      <w:r w:rsidR="00E8171E" w:rsidRPr="008E1DF4">
        <w:rPr>
          <w:rFonts w:asciiTheme="majorBidi" w:hAnsiTheme="majorBidi" w:cstheme="majorBidi"/>
          <w:sz w:val="20"/>
          <w:szCs w:val="20"/>
        </w:rPr>
        <w:t xml:space="preserve"> </w:t>
      </w:r>
      <w:proofErr w:type="gramStart"/>
      <w:r w:rsidR="00E8171E" w:rsidRPr="008E1DF4">
        <w:rPr>
          <w:rFonts w:asciiTheme="majorBidi" w:hAnsiTheme="majorBidi" w:cstheme="majorBidi"/>
          <w:sz w:val="20"/>
          <w:szCs w:val="20"/>
        </w:rPr>
        <w:t>Vol. 283.</w:t>
      </w:r>
      <w:proofErr w:type="gramEnd"/>
      <w:r w:rsidR="00E8171E" w:rsidRPr="008E1DF4">
        <w:rPr>
          <w:rFonts w:asciiTheme="majorBidi" w:hAnsiTheme="majorBidi" w:cstheme="majorBidi"/>
          <w:sz w:val="20"/>
          <w:szCs w:val="20"/>
        </w:rPr>
        <w:t xml:space="preserve"> </w:t>
      </w:r>
      <w:proofErr w:type="gramStart"/>
      <w:r w:rsidR="00E8171E" w:rsidRPr="008E1DF4">
        <w:rPr>
          <w:rFonts w:asciiTheme="majorBidi" w:hAnsiTheme="majorBidi" w:cstheme="majorBidi"/>
          <w:sz w:val="20"/>
          <w:szCs w:val="20"/>
        </w:rPr>
        <w:t>no</w:t>
      </w:r>
      <w:proofErr w:type="gramEnd"/>
      <w:r w:rsidR="00E8171E" w:rsidRPr="008E1DF4">
        <w:rPr>
          <w:rFonts w:asciiTheme="majorBidi" w:hAnsiTheme="majorBidi" w:cstheme="majorBidi"/>
          <w:sz w:val="20"/>
          <w:szCs w:val="20"/>
        </w:rPr>
        <w:t xml:space="preserve">. </w:t>
      </w:r>
      <w:r w:rsidR="00C264F9" w:rsidRPr="008E1DF4">
        <w:rPr>
          <w:rFonts w:asciiTheme="majorBidi" w:hAnsiTheme="majorBidi" w:cstheme="majorBidi"/>
          <w:sz w:val="20"/>
          <w:szCs w:val="20"/>
        </w:rPr>
        <w:t>5410, 2080 - 2082.</w:t>
      </w:r>
    </w:p>
    <w:p w:rsidR="003172CE" w:rsidRPr="008E1DF4" w:rsidRDefault="007355EF"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D57ADE" w:rsidRPr="008E1DF4">
        <w:rPr>
          <w:rFonts w:asciiTheme="majorBidi" w:hAnsiTheme="majorBidi" w:cstheme="majorBidi"/>
          <w:sz w:val="20"/>
          <w:szCs w:val="20"/>
        </w:rPr>
        <w:t>50</w:t>
      </w:r>
      <w:r w:rsidR="00A43C81" w:rsidRPr="008E1DF4">
        <w:rPr>
          <w:rFonts w:asciiTheme="majorBidi" w:hAnsiTheme="majorBidi" w:cstheme="majorBidi"/>
          <w:sz w:val="20"/>
          <w:szCs w:val="20"/>
        </w:rPr>
        <w:t xml:space="preserve">] </w:t>
      </w:r>
      <w:r w:rsidR="004D000C" w:rsidRPr="008E1DF4">
        <w:rPr>
          <w:rFonts w:asciiTheme="majorBidi" w:hAnsiTheme="majorBidi" w:cstheme="majorBidi"/>
          <w:sz w:val="20"/>
          <w:szCs w:val="20"/>
        </w:rPr>
        <w:t>YANG Dong; DU Yong-ping, 2008.</w:t>
      </w:r>
      <w:r w:rsidR="003172CE" w:rsidRPr="008E1DF4">
        <w:rPr>
          <w:rFonts w:asciiTheme="majorBidi" w:hAnsiTheme="majorBidi" w:cstheme="majorBidi"/>
          <w:sz w:val="20"/>
          <w:szCs w:val="20"/>
        </w:rPr>
        <w:t xml:space="preserve"> Yang </w:t>
      </w:r>
      <w:proofErr w:type="gramStart"/>
      <w:r w:rsidR="003172CE" w:rsidRPr="008E1DF4">
        <w:rPr>
          <w:rFonts w:asciiTheme="majorBidi" w:hAnsiTheme="majorBidi" w:cstheme="majorBidi"/>
          <w:sz w:val="20"/>
          <w:szCs w:val="20"/>
        </w:rPr>
        <w:t>J.,</w:t>
      </w:r>
      <w:proofErr w:type="gramEnd"/>
      <w:r w:rsidR="003172CE" w:rsidRPr="008E1DF4">
        <w:rPr>
          <w:rFonts w:asciiTheme="majorBidi" w:hAnsiTheme="majorBidi" w:cstheme="majorBidi"/>
          <w:sz w:val="20"/>
          <w:szCs w:val="20"/>
        </w:rPr>
        <w:t xml:space="preserve"> and Weinberg R.A. (2008). Epithelial-mesenchymal transition: at the crossroads </w:t>
      </w:r>
      <w:proofErr w:type="gramStart"/>
      <w:r w:rsidR="003172CE" w:rsidRPr="008E1DF4">
        <w:rPr>
          <w:rFonts w:asciiTheme="majorBidi" w:hAnsiTheme="majorBidi" w:cstheme="majorBidi"/>
          <w:sz w:val="20"/>
          <w:szCs w:val="20"/>
        </w:rPr>
        <w:t>of  development</w:t>
      </w:r>
      <w:proofErr w:type="gramEnd"/>
      <w:r w:rsidR="003172CE" w:rsidRPr="008E1DF4">
        <w:rPr>
          <w:rFonts w:asciiTheme="majorBidi" w:hAnsiTheme="majorBidi" w:cstheme="majorBidi"/>
          <w:sz w:val="20"/>
          <w:szCs w:val="20"/>
        </w:rPr>
        <w:t xml:space="preserve"> and tumor metastasis. Dev Cell 14(6):818-829.</w:t>
      </w:r>
    </w:p>
    <w:p w:rsidR="00C264F9"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D57ADE" w:rsidRPr="008E1DF4">
        <w:rPr>
          <w:rFonts w:asciiTheme="majorBidi" w:hAnsiTheme="majorBidi" w:cstheme="majorBidi"/>
          <w:sz w:val="20"/>
          <w:szCs w:val="20"/>
        </w:rPr>
        <w:t>51</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Liu M., Suga M., Maclean A.A., St George J.A.</w:t>
      </w:r>
      <w:proofErr w:type="gramStart"/>
      <w:r w:rsidR="006D4D22" w:rsidRPr="008E1DF4">
        <w:rPr>
          <w:rFonts w:asciiTheme="majorBidi" w:hAnsiTheme="majorBidi" w:cstheme="majorBidi"/>
          <w:sz w:val="20"/>
          <w:szCs w:val="20"/>
        </w:rPr>
        <w:t>,</w:t>
      </w:r>
      <w:r w:rsidR="001141AC" w:rsidRPr="008E1DF4">
        <w:rPr>
          <w:rFonts w:asciiTheme="majorBidi" w:hAnsiTheme="majorBidi" w:cstheme="majorBidi"/>
          <w:sz w:val="20"/>
          <w:szCs w:val="20"/>
        </w:rPr>
        <w:t>et</w:t>
      </w:r>
      <w:proofErr w:type="gramEnd"/>
      <w:r w:rsidR="001141AC" w:rsidRPr="008E1DF4">
        <w:rPr>
          <w:rFonts w:asciiTheme="majorBidi" w:hAnsiTheme="majorBidi" w:cstheme="majorBidi"/>
          <w:sz w:val="20"/>
          <w:szCs w:val="20"/>
        </w:rPr>
        <w:t xml:space="preserve"> al</w:t>
      </w:r>
      <w:r w:rsidR="00C264F9" w:rsidRPr="008E1DF4">
        <w:rPr>
          <w:rFonts w:asciiTheme="majorBidi" w:hAnsiTheme="majorBidi" w:cstheme="majorBidi"/>
          <w:sz w:val="20"/>
          <w:szCs w:val="20"/>
        </w:rPr>
        <w:t>. (2002).  Solubletransforming growth factor-beta type III receptor gene transfection inhibit</w:t>
      </w:r>
      <w:r w:rsidR="00E8171E" w:rsidRPr="008E1DF4">
        <w:rPr>
          <w:rFonts w:asciiTheme="majorBidi" w:hAnsiTheme="majorBidi" w:cstheme="majorBidi"/>
          <w:sz w:val="20"/>
          <w:szCs w:val="20"/>
        </w:rPr>
        <w:t xml:space="preserve">s fibrous airway </w:t>
      </w:r>
      <w:proofErr w:type="gramStart"/>
      <w:r w:rsidR="00E8171E" w:rsidRPr="008E1DF4">
        <w:rPr>
          <w:rFonts w:asciiTheme="majorBidi" w:hAnsiTheme="majorBidi" w:cstheme="majorBidi"/>
          <w:sz w:val="20"/>
          <w:szCs w:val="20"/>
        </w:rPr>
        <w:t xml:space="preserve">obliteration  </w:t>
      </w:r>
      <w:r w:rsidR="00C264F9" w:rsidRPr="008E1DF4">
        <w:rPr>
          <w:rFonts w:asciiTheme="majorBidi" w:hAnsiTheme="majorBidi" w:cstheme="majorBidi"/>
          <w:sz w:val="20"/>
          <w:szCs w:val="20"/>
        </w:rPr>
        <w:t>in</w:t>
      </w:r>
      <w:proofErr w:type="gramEnd"/>
      <w:r w:rsidR="00C264F9" w:rsidRPr="008E1DF4">
        <w:rPr>
          <w:rFonts w:asciiTheme="majorBidi" w:hAnsiTheme="majorBidi" w:cstheme="majorBidi"/>
          <w:sz w:val="20"/>
          <w:szCs w:val="20"/>
        </w:rPr>
        <w:t xml:space="preserve"> a rat model of Bronchiolitis obliterans.  </w:t>
      </w:r>
      <w:proofErr w:type="gramStart"/>
      <w:r w:rsidR="00C264F9" w:rsidRPr="008E1DF4">
        <w:rPr>
          <w:rFonts w:asciiTheme="majorBidi" w:hAnsiTheme="majorBidi" w:cstheme="majorBidi"/>
          <w:sz w:val="20"/>
          <w:szCs w:val="20"/>
        </w:rPr>
        <w:t>Am</w:t>
      </w:r>
      <w:proofErr w:type="gramEnd"/>
      <w:r w:rsidR="00C264F9" w:rsidRPr="008E1DF4">
        <w:rPr>
          <w:rFonts w:asciiTheme="majorBidi" w:hAnsiTheme="majorBidi" w:cstheme="majorBidi"/>
          <w:sz w:val="20"/>
          <w:szCs w:val="20"/>
        </w:rPr>
        <w:t xml:space="preserve"> J Respir Crit Care Med. 1.165(3):419-</w:t>
      </w:r>
    </w:p>
    <w:p w:rsidR="00C264F9"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84131D" w:rsidRPr="008E1DF4">
        <w:rPr>
          <w:rFonts w:asciiTheme="majorBidi" w:hAnsiTheme="majorBidi" w:cstheme="majorBidi"/>
          <w:sz w:val="20"/>
          <w:szCs w:val="20"/>
        </w:rPr>
        <w:t>5</w:t>
      </w:r>
      <w:r w:rsidR="00D57ADE" w:rsidRPr="008E1DF4">
        <w:rPr>
          <w:rFonts w:asciiTheme="majorBidi" w:hAnsiTheme="majorBidi" w:cstheme="majorBidi"/>
          <w:sz w:val="20"/>
          <w:szCs w:val="20"/>
        </w:rPr>
        <w:t>2</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Criswell T.L.</w:t>
      </w:r>
      <w:proofErr w:type="gramStart"/>
      <w:r w:rsidR="006D4D22" w:rsidRPr="008E1DF4">
        <w:rPr>
          <w:rFonts w:asciiTheme="majorBidi" w:hAnsiTheme="majorBidi" w:cstheme="majorBidi"/>
          <w:sz w:val="20"/>
          <w:szCs w:val="20"/>
        </w:rPr>
        <w:t>,  Dumont</w:t>
      </w:r>
      <w:proofErr w:type="gramEnd"/>
      <w:r w:rsidR="006D4D22" w:rsidRPr="008E1DF4">
        <w:rPr>
          <w:rFonts w:asciiTheme="majorBidi" w:hAnsiTheme="majorBidi" w:cstheme="majorBidi"/>
          <w:sz w:val="20"/>
          <w:szCs w:val="20"/>
        </w:rPr>
        <w:t xml:space="preserve"> N., Joey V., Barnett., </w:t>
      </w:r>
      <w:r w:rsidR="001141AC" w:rsidRPr="008E1DF4">
        <w:rPr>
          <w:rFonts w:asciiTheme="majorBidi" w:hAnsiTheme="majorBidi" w:cstheme="majorBidi"/>
          <w:sz w:val="20"/>
          <w:szCs w:val="20"/>
        </w:rPr>
        <w:t xml:space="preserve">et al </w:t>
      </w:r>
      <w:r w:rsidR="00E8171E" w:rsidRPr="008E1DF4">
        <w:rPr>
          <w:rFonts w:asciiTheme="majorBidi" w:hAnsiTheme="majorBidi" w:cstheme="majorBidi"/>
          <w:sz w:val="20"/>
          <w:szCs w:val="20"/>
        </w:rPr>
        <w:t xml:space="preserve">. </w:t>
      </w:r>
      <w:proofErr w:type="gramStart"/>
      <w:r w:rsidR="00E8171E" w:rsidRPr="008E1DF4">
        <w:rPr>
          <w:rFonts w:asciiTheme="majorBidi" w:hAnsiTheme="majorBidi" w:cstheme="majorBidi"/>
          <w:sz w:val="20"/>
          <w:szCs w:val="20"/>
        </w:rPr>
        <w:t xml:space="preserve">(2008). Knockdown of the </w:t>
      </w:r>
      <w:r w:rsidR="00C264F9" w:rsidRPr="008E1DF4">
        <w:rPr>
          <w:rFonts w:asciiTheme="majorBidi" w:hAnsiTheme="majorBidi" w:cstheme="majorBidi"/>
          <w:sz w:val="20"/>
          <w:szCs w:val="20"/>
        </w:rPr>
        <w:t>Transforming Growth Factor-β Type III Receptor Impairs Motility and</w:t>
      </w:r>
      <w:r w:rsidR="00E8171E" w:rsidRPr="008E1DF4">
        <w:rPr>
          <w:rFonts w:asciiTheme="majorBidi" w:hAnsiTheme="majorBidi" w:cstheme="majorBidi"/>
          <w:sz w:val="20"/>
          <w:szCs w:val="20"/>
        </w:rPr>
        <w:t xml:space="preserve"> Invasion of Metastatic Cancer </w:t>
      </w:r>
      <w:r w:rsidR="00C264F9" w:rsidRPr="008E1DF4">
        <w:rPr>
          <w:rFonts w:asciiTheme="majorBidi" w:hAnsiTheme="majorBidi" w:cstheme="majorBidi"/>
          <w:sz w:val="20"/>
          <w:szCs w:val="20"/>
        </w:rPr>
        <w:t>6307.</w:t>
      </w:r>
      <w:proofErr w:type="gramEnd"/>
      <w:r w:rsidR="00C264F9" w:rsidRPr="008E1DF4">
        <w:rPr>
          <w:rFonts w:asciiTheme="majorBidi" w:hAnsiTheme="majorBidi" w:cstheme="majorBidi"/>
          <w:sz w:val="20"/>
          <w:szCs w:val="20"/>
        </w:rPr>
        <w:t xml:space="preserve"> </w:t>
      </w:r>
      <w:proofErr w:type="gramStart"/>
      <w:r w:rsidR="00C264F9" w:rsidRPr="008E1DF4">
        <w:rPr>
          <w:rFonts w:asciiTheme="majorBidi" w:hAnsiTheme="majorBidi" w:cstheme="majorBidi"/>
          <w:sz w:val="20"/>
          <w:szCs w:val="20"/>
        </w:rPr>
        <w:t>Cells.</w:t>
      </w:r>
      <w:proofErr w:type="gramEnd"/>
      <w:r w:rsidR="00C264F9" w:rsidRPr="008E1DF4">
        <w:rPr>
          <w:rFonts w:asciiTheme="majorBidi" w:hAnsiTheme="majorBidi" w:cstheme="majorBidi"/>
          <w:sz w:val="20"/>
          <w:szCs w:val="20"/>
        </w:rPr>
        <w:t xml:space="preserve"> Cancer Res. Carlos L. Arteaga, Division of Oncology, Va</w:t>
      </w:r>
      <w:r w:rsidR="00E8171E" w:rsidRPr="008E1DF4">
        <w:rPr>
          <w:rFonts w:asciiTheme="majorBidi" w:hAnsiTheme="majorBidi" w:cstheme="majorBidi"/>
          <w:sz w:val="20"/>
          <w:szCs w:val="20"/>
        </w:rPr>
        <w:t xml:space="preserve">nderbilt University Medical    </w:t>
      </w:r>
      <w:r w:rsidR="00C264F9" w:rsidRPr="008E1DF4">
        <w:rPr>
          <w:rFonts w:asciiTheme="majorBidi" w:hAnsiTheme="majorBidi" w:cstheme="majorBidi"/>
          <w:sz w:val="20"/>
          <w:szCs w:val="20"/>
        </w:rPr>
        <w:t>Center, TN 37232.</w:t>
      </w:r>
    </w:p>
    <w:p w:rsidR="003172CE" w:rsidRPr="008E1DF4" w:rsidRDefault="00E93B7C" w:rsidP="00A43C81">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84131D" w:rsidRPr="008E1DF4">
        <w:rPr>
          <w:rFonts w:asciiTheme="majorBidi" w:hAnsiTheme="majorBidi" w:cstheme="majorBidi"/>
          <w:sz w:val="20"/>
          <w:szCs w:val="20"/>
        </w:rPr>
        <w:t>5</w:t>
      </w:r>
      <w:r w:rsidR="00D57ADE" w:rsidRPr="008E1DF4">
        <w:rPr>
          <w:rFonts w:asciiTheme="majorBidi" w:hAnsiTheme="majorBidi" w:cstheme="majorBidi"/>
          <w:sz w:val="20"/>
          <w:szCs w:val="20"/>
        </w:rPr>
        <w:t>3</w:t>
      </w:r>
      <w:r w:rsidR="009F3BA5" w:rsidRPr="008E1DF4">
        <w:rPr>
          <w:rFonts w:asciiTheme="majorBidi" w:hAnsiTheme="majorBidi" w:cstheme="majorBidi"/>
          <w:sz w:val="20"/>
          <w:szCs w:val="20"/>
        </w:rPr>
        <w:t xml:space="preserve">] </w:t>
      </w:r>
      <w:r w:rsidR="003172CE" w:rsidRPr="008E1DF4">
        <w:rPr>
          <w:rFonts w:asciiTheme="majorBidi" w:hAnsiTheme="majorBidi" w:cstheme="majorBidi"/>
          <w:sz w:val="20"/>
          <w:szCs w:val="20"/>
        </w:rPr>
        <w:t xml:space="preserve">Iwano M., Plieth D., Danoff T.M., Xue C., </w:t>
      </w:r>
      <w:r w:rsidR="001141AC" w:rsidRPr="008E1DF4">
        <w:rPr>
          <w:rFonts w:asciiTheme="majorBidi" w:hAnsiTheme="majorBidi" w:cstheme="majorBidi"/>
          <w:sz w:val="20"/>
          <w:szCs w:val="20"/>
        </w:rPr>
        <w:t xml:space="preserve">et al </w:t>
      </w:r>
      <w:r w:rsidR="003172CE" w:rsidRPr="008E1DF4">
        <w:rPr>
          <w:rFonts w:asciiTheme="majorBidi" w:hAnsiTheme="majorBidi" w:cstheme="majorBidi"/>
          <w:sz w:val="20"/>
          <w:szCs w:val="20"/>
        </w:rPr>
        <w:t xml:space="preserve">(2002). </w:t>
      </w:r>
      <w:proofErr w:type="gramStart"/>
      <w:r w:rsidR="003172CE" w:rsidRPr="008E1DF4">
        <w:rPr>
          <w:rFonts w:asciiTheme="majorBidi" w:hAnsiTheme="majorBidi" w:cstheme="majorBidi"/>
          <w:sz w:val="20"/>
          <w:szCs w:val="20"/>
        </w:rPr>
        <w:t>Evidence that fibroblasts derive from epithelium during tissue fibrosis.</w:t>
      </w:r>
      <w:proofErr w:type="gramEnd"/>
      <w:r w:rsidR="003172CE" w:rsidRPr="008E1DF4">
        <w:rPr>
          <w:rFonts w:asciiTheme="majorBidi" w:hAnsiTheme="majorBidi" w:cstheme="majorBidi"/>
          <w:sz w:val="20"/>
          <w:szCs w:val="20"/>
        </w:rPr>
        <w:t xml:space="preserve"> J Clin Invest, 110(3):341-350</w:t>
      </w:r>
    </w:p>
    <w:p w:rsidR="00C264F9" w:rsidRPr="008E1DF4" w:rsidRDefault="00EF0688" w:rsidP="00A43C81">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E93B7C" w:rsidRPr="008E1DF4">
        <w:rPr>
          <w:rFonts w:asciiTheme="majorBidi" w:hAnsiTheme="majorBidi" w:cstheme="majorBidi"/>
          <w:sz w:val="20"/>
          <w:szCs w:val="20"/>
        </w:rPr>
        <w:t>5</w:t>
      </w:r>
      <w:r w:rsidR="00D57ADE" w:rsidRPr="008E1DF4">
        <w:rPr>
          <w:rFonts w:asciiTheme="majorBidi" w:hAnsiTheme="majorBidi" w:cstheme="majorBidi"/>
          <w:sz w:val="20"/>
          <w:szCs w:val="20"/>
        </w:rPr>
        <w:t>4</w:t>
      </w:r>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Bilandzic M., Chu S., Farnworth P.G., Harrison C.</w:t>
      </w:r>
      <w:proofErr w:type="gramStart"/>
      <w:r w:rsidR="006D4D22" w:rsidRPr="008E1DF4">
        <w:rPr>
          <w:rFonts w:asciiTheme="majorBidi" w:hAnsiTheme="majorBidi" w:cstheme="majorBidi"/>
          <w:sz w:val="20"/>
          <w:szCs w:val="20"/>
        </w:rPr>
        <w:t>,</w:t>
      </w:r>
      <w:r w:rsidR="001141AC" w:rsidRPr="008E1DF4">
        <w:rPr>
          <w:rFonts w:asciiTheme="majorBidi" w:hAnsiTheme="majorBidi" w:cstheme="majorBidi"/>
          <w:sz w:val="20"/>
          <w:szCs w:val="20"/>
        </w:rPr>
        <w:t>et</w:t>
      </w:r>
      <w:proofErr w:type="gramEnd"/>
      <w:r w:rsidR="001141AC" w:rsidRPr="008E1DF4">
        <w:rPr>
          <w:rFonts w:asciiTheme="majorBidi" w:hAnsiTheme="majorBidi" w:cstheme="majorBidi"/>
          <w:sz w:val="20"/>
          <w:szCs w:val="20"/>
        </w:rPr>
        <w:t xml:space="preserve"> al</w:t>
      </w:r>
      <w:r w:rsidR="003B6367" w:rsidRPr="008E1DF4">
        <w:rPr>
          <w:rFonts w:asciiTheme="majorBidi" w:hAnsiTheme="majorBidi" w:cstheme="majorBidi"/>
          <w:sz w:val="20"/>
          <w:szCs w:val="20"/>
        </w:rPr>
        <w:t>. (2009). Loss of</w:t>
      </w:r>
      <w:r w:rsidR="00E8171E" w:rsidRPr="008E1DF4">
        <w:rPr>
          <w:rFonts w:asciiTheme="majorBidi" w:hAnsiTheme="majorBidi" w:cstheme="majorBidi"/>
          <w:sz w:val="20"/>
          <w:szCs w:val="20"/>
        </w:rPr>
        <w:t xml:space="preserve"> Betaglycan Contributes to the </w:t>
      </w:r>
      <w:r w:rsidR="001141AC" w:rsidRPr="008E1DF4">
        <w:rPr>
          <w:rFonts w:asciiTheme="majorBidi" w:hAnsiTheme="majorBidi" w:cstheme="majorBidi"/>
          <w:sz w:val="20"/>
          <w:szCs w:val="20"/>
        </w:rPr>
        <w:t xml:space="preserve">Malignant Properties </w:t>
      </w:r>
      <w:proofErr w:type="gramStart"/>
      <w:r w:rsidR="001141AC" w:rsidRPr="008E1DF4">
        <w:rPr>
          <w:rFonts w:asciiTheme="majorBidi" w:hAnsiTheme="majorBidi" w:cstheme="majorBidi"/>
          <w:sz w:val="20"/>
          <w:szCs w:val="20"/>
        </w:rPr>
        <w:t xml:space="preserve">of </w:t>
      </w:r>
      <w:r w:rsidR="00C264F9" w:rsidRPr="008E1DF4">
        <w:rPr>
          <w:rFonts w:asciiTheme="majorBidi" w:hAnsiTheme="majorBidi" w:cstheme="majorBidi"/>
          <w:sz w:val="20"/>
          <w:szCs w:val="20"/>
        </w:rPr>
        <w:t xml:space="preserve"> Human</w:t>
      </w:r>
      <w:proofErr w:type="gramEnd"/>
      <w:r w:rsidR="00C264F9" w:rsidRPr="008E1DF4">
        <w:rPr>
          <w:rFonts w:asciiTheme="majorBidi" w:hAnsiTheme="majorBidi" w:cstheme="majorBidi"/>
          <w:sz w:val="20"/>
          <w:szCs w:val="20"/>
        </w:rPr>
        <w:t xml:space="preserve"> Granulosa Tumor Cells.  Molecular Endocrinology, 23(4):539-548.</w:t>
      </w:r>
    </w:p>
    <w:p w:rsidR="002B6AE1" w:rsidRPr="008E1DF4" w:rsidRDefault="004D000C" w:rsidP="00A43C81">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E93B7C" w:rsidRPr="008E1DF4">
        <w:rPr>
          <w:rFonts w:asciiTheme="majorBidi" w:hAnsiTheme="majorBidi" w:cstheme="majorBidi"/>
          <w:sz w:val="20"/>
          <w:szCs w:val="20"/>
        </w:rPr>
        <w:t>5</w:t>
      </w:r>
      <w:r w:rsidR="00D57ADE" w:rsidRPr="008E1DF4">
        <w:rPr>
          <w:rFonts w:asciiTheme="majorBidi" w:hAnsiTheme="majorBidi" w:cstheme="majorBidi"/>
          <w:sz w:val="20"/>
          <w:szCs w:val="20"/>
        </w:rPr>
        <w:t>5</w:t>
      </w:r>
      <w:r w:rsidRPr="008E1DF4">
        <w:rPr>
          <w:rFonts w:asciiTheme="majorBidi" w:hAnsiTheme="majorBidi" w:cstheme="majorBidi"/>
          <w:sz w:val="20"/>
          <w:szCs w:val="20"/>
        </w:rPr>
        <w:t xml:space="preserve">] </w:t>
      </w:r>
      <w:r w:rsidR="002B6AE1" w:rsidRPr="008E1DF4">
        <w:rPr>
          <w:rFonts w:asciiTheme="majorBidi" w:hAnsiTheme="majorBidi" w:cstheme="majorBidi"/>
          <w:sz w:val="20"/>
          <w:szCs w:val="20"/>
        </w:rPr>
        <w:t xml:space="preserve">Willis B.C., </w:t>
      </w:r>
      <w:proofErr w:type="gramStart"/>
      <w:r w:rsidR="002B6AE1" w:rsidRPr="008E1DF4">
        <w:rPr>
          <w:rFonts w:asciiTheme="majorBidi" w:hAnsiTheme="majorBidi" w:cstheme="majorBidi"/>
          <w:sz w:val="20"/>
          <w:szCs w:val="20"/>
        </w:rPr>
        <w:t>and  Borok</w:t>
      </w:r>
      <w:proofErr w:type="gramEnd"/>
      <w:r w:rsidR="002B6AE1" w:rsidRPr="008E1DF4">
        <w:rPr>
          <w:rFonts w:asciiTheme="majorBidi" w:hAnsiTheme="majorBidi" w:cstheme="majorBidi"/>
          <w:sz w:val="20"/>
          <w:szCs w:val="20"/>
        </w:rPr>
        <w:t xml:space="preserve"> Z. (2007). TGF-beta-induced EMT: mechanism</w:t>
      </w:r>
      <w:r w:rsidR="00E8171E" w:rsidRPr="008E1DF4">
        <w:rPr>
          <w:rFonts w:asciiTheme="majorBidi" w:hAnsiTheme="majorBidi" w:cstheme="majorBidi"/>
          <w:sz w:val="20"/>
          <w:szCs w:val="20"/>
        </w:rPr>
        <w:t>s and implications for fibroti</w:t>
      </w:r>
      <w:r w:rsidR="002B6AE1" w:rsidRPr="008E1DF4">
        <w:rPr>
          <w:rFonts w:asciiTheme="majorBidi" w:hAnsiTheme="majorBidi" w:cstheme="majorBidi"/>
          <w:sz w:val="20"/>
          <w:szCs w:val="20"/>
        </w:rPr>
        <w:t>lung disease. Am J Physiol Lung Cell Mol Physiol 293(3):L525-</w:t>
      </w:r>
      <w:proofErr w:type="gramStart"/>
      <w:r w:rsidR="002B6AE1" w:rsidRPr="008E1DF4">
        <w:rPr>
          <w:rFonts w:asciiTheme="majorBidi" w:hAnsiTheme="majorBidi" w:cstheme="majorBidi"/>
          <w:sz w:val="20"/>
          <w:szCs w:val="20"/>
        </w:rPr>
        <w:t>53.</w:t>
      </w:r>
      <w:proofErr w:type="gramEnd"/>
    </w:p>
    <w:p w:rsidR="003B6367"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E93B7C" w:rsidRPr="008E1DF4">
        <w:rPr>
          <w:rFonts w:asciiTheme="majorBidi" w:hAnsiTheme="majorBidi" w:cstheme="majorBidi"/>
          <w:sz w:val="20"/>
          <w:szCs w:val="20"/>
        </w:rPr>
        <w:t>5</w:t>
      </w:r>
      <w:r w:rsidR="00D57ADE" w:rsidRPr="008E1DF4">
        <w:rPr>
          <w:rFonts w:asciiTheme="majorBidi" w:hAnsiTheme="majorBidi" w:cstheme="majorBidi"/>
          <w:sz w:val="20"/>
          <w:szCs w:val="20"/>
        </w:rPr>
        <w:t>6</w:t>
      </w:r>
      <w:proofErr w:type="gramStart"/>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t>Gatza C.E., Oh S.Y., and Blobe G.C. (2010).</w:t>
      </w:r>
      <w:proofErr w:type="gramEnd"/>
      <w:r w:rsidR="006D4D22" w:rsidRPr="008E1DF4">
        <w:rPr>
          <w:rFonts w:asciiTheme="majorBidi" w:hAnsiTheme="majorBidi" w:cstheme="majorBidi"/>
          <w:sz w:val="20"/>
          <w:szCs w:val="20"/>
        </w:rPr>
        <w:t xml:space="preserve"> </w:t>
      </w:r>
      <w:proofErr w:type="gramStart"/>
      <w:r w:rsidR="006D4D22" w:rsidRPr="008E1DF4">
        <w:rPr>
          <w:rFonts w:asciiTheme="majorBidi" w:hAnsiTheme="majorBidi" w:cstheme="majorBidi"/>
          <w:sz w:val="20"/>
          <w:szCs w:val="20"/>
        </w:rPr>
        <w:t>Roles for the type III TGF-b</w:t>
      </w:r>
      <w:r w:rsidR="00E8171E" w:rsidRPr="008E1DF4">
        <w:rPr>
          <w:rFonts w:asciiTheme="majorBidi" w:hAnsiTheme="majorBidi" w:cstheme="majorBidi"/>
          <w:sz w:val="20"/>
          <w:szCs w:val="20"/>
        </w:rPr>
        <w:t xml:space="preserve">eta receptor in human cancer </w:t>
      </w:r>
      <w:r w:rsidR="003B6367" w:rsidRPr="008E1DF4">
        <w:rPr>
          <w:rFonts w:asciiTheme="majorBidi" w:hAnsiTheme="majorBidi" w:cstheme="majorBidi"/>
          <w:sz w:val="20"/>
          <w:szCs w:val="20"/>
        </w:rPr>
        <w:t>Cell Signal.</w:t>
      </w:r>
      <w:proofErr w:type="gramEnd"/>
      <w:r w:rsidR="003B6367" w:rsidRPr="008E1DF4">
        <w:rPr>
          <w:rFonts w:asciiTheme="majorBidi" w:hAnsiTheme="majorBidi" w:cstheme="majorBidi"/>
          <w:sz w:val="20"/>
          <w:szCs w:val="20"/>
        </w:rPr>
        <w:t xml:space="preserve"> 22(8):1163-74.</w:t>
      </w:r>
    </w:p>
    <w:p w:rsidR="003B6367"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E93B7C" w:rsidRPr="008E1DF4">
        <w:rPr>
          <w:rFonts w:asciiTheme="majorBidi" w:hAnsiTheme="majorBidi" w:cstheme="majorBidi"/>
          <w:sz w:val="20"/>
          <w:szCs w:val="20"/>
        </w:rPr>
        <w:t>5</w:t>
      </w:r>
      <w:r w:rsidR="00D57ADE" w:rsidRPr="008E1DF4">
        <w:rPr>
          <w:rFonts w:asciiTheme="majorBidi" w:hAnsiTheme="majorBidi" w:cstheme="majorBidi"/>
          <w:sz w:val="20"/>
          <w:szCs w:val="20"/>
        </w:rPr>
        <w:t>7</w:t>
      </w:r>
      <w:proofErr w:type="gramStart"/>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t xml:space="preserve">Jiang X., </w:t>
      </w:r>
      <w:r w:rsidR="001141AC" w:rsidRPr="008E1DF4">
        <w:rPr>
          <w:rFonts w:asciiTheme="majorBidi" w:hAnsiTheme="majorBidi" w:cstheme="majorBidi"/>
          <w:sz w:val="20"/>
          <w:szCs w:val="20"/>
        </w:rPr>
        <w:t>Liu R., Lei Z., You J., Zhou Q. et al</w:t>
      </w:r>
      <w:r w:rsidR="006D4D22" w:rsidRPr="008E1DF4">
        <w:rPr>
          <w:rFonts w:asciiTheme="majorBidi" w:hAnsiTheme="majorBidi" w:cstheme="majorBidi"/>
          <w:sz w:val="20"/>
          <w:szCs w:val="20"/>
        </w:rPr>
        <w:t>. (2010).</w:t>
      </w:r>
      <w:proofErr w:type="gramEnd"/>
      <w:r w:rsidR="006D4D22" w:rsidRPr="008E1DF4">
        <w:rPr>
          <w:rFonts w:asciiTheme="majorBidi" w:hAnsiTheme="majorBidi" w:cstheme="majorBidi"/>
          <w:sz w:val="20"/>
          <w:szCs w:val="20"/>
        </w:rPr>
        <w:t xml:space="preserve">  Defec</w:t>
      </w:r>
      <w:r w:rsidR="00E8171E" w:rsidRPr="008E1DF4">
        <w:rPr>
          <w:rFonts w:asciiTheme="majorBidi" w:hAnsiTheme="majorBidi" w:cstheme="majorBidi"/>
          <w:sz w:val="20"/>
          <w:szCs w:val="20"/>
        </w:rPr>
        <w:t xml:space="preserve">tive expression of TGFBR3 gene </w:t>
      </w:r>
      <w:r w:rsidR="003B6367" w:rsidRPr="008E1DF4">
        <w:rPr>
          <w:rFonts w:asciiTheme="majorBidi" w:hAnsiTheme="majorBidi" w:cstheme="majorBidi"/>
          <w:sz w:val="20"/>
          <w:szCs w:val="20"/>
        </w:rPr>
        <w:t>and its molecular mechanisms in non-small cell lung cancer cell lines.  13(5):451-7.</w:t>
      </w:r>
    </w:p>
    <w:p w:rsidR="001141AC"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lastRenderedPageBreak/>
        <w:t>[</w:t>
      </w:r>
      <w:r w:rsidR="00E93B7C" w:rsidRPr="008E1DF4">
        <w:rPr>
          <w:rFonts w:asciiTheme="majorBidi" w:hAnsiTheme="majorBidi" w:cstheme="majorBidi"/>
          <w:sz w:val="20"/>
          <w:szCs w:val="20"/>
        </w:rPr>
        <w:t>5</w:t>
      </w:r>
      <w:r w:rsidR="00D57ADE" w:rsidRPr="008E1DF4">
        <w:rPr>
          <w:rFonts w:asciiTheme="majorBidi" w:hAnsiTheme="majorBidi" w:cstheme="majorBidi"/>
          <w:sz w:val="20"/>
          <w:szCs w:val="20"/>
        </w:rPr>
        <w:t>8</w:t>
      </w:r>
      <w:proofErr w:type="gramStart"/>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t xml:space="preserve">Hempel N., How T., Cooper S.J., Green T.R., </w:t>
      </w:r>
      <w:r w:rsidR="001141AC" w:rsidRPr="008E1DF4">
        <w:rPr>
          <w:rFonts w:asciiTheme="majorBidi" w:hAnsiTheme="majorBidi" w:cstheme="majorBidi"/>
          <w:sz w:val="20"/>
          <w:szCs w:val="20"/>
        </w:rPr>
        <w:t>et al</w:t>
      </w:r>
      <w:r w:rsidR="003B6367" w:rsidRPr="008E1DF4">
        <w:rPr>
          <w:rFonts w:asciiTheme="majorBidi" w:hAnsiTheme="majorBidi" w:cstheme="majorBidi"/>
          <w:sz w:val="20"/>
          <w:szCs w:val="20"/>
        </w:rPr>
        <w:t xml:space="preserve"> (2008).</w:t>
      </w:r>
      <w:proofErr w:type="gramEnd"/>
      <w:r w:rsidR="003B6367" w:rsidRPr="008E1DF4">
        <w:rPr>
          <w:rFonts w:asciiTheme="majorBidi" w:hAnsiTheme="majorBidi" w:cstheme="majorBidi"/>
          <w:sz w:val="20"/>
          <w:szCs w:val="20"/>
        </w:rPr>
        <w:t xml:space="preserve">  Expression </w:t>
      </w:r>
      <w:r w:rsidR="00E8171E" w:rsidRPr="008E1DF4">
        <w:rPr>
          <w:rFonts w:asciiTheme="majorBidi" w:hAnsiTheme="majorBidi" w:cstheme="majorBidi"/>
          <w:sz w:val="20"/>
          <w:szCs w:val="20"/>
        </w:rPr>
        <w:t xml:space="preserve">of the type III TGF-β receptor </w:t>
      </w:r>
      <w:r w:rsidR="001141AC" w:rsidRPr="008E1DF4">
        <w:rPr>
          <w:rFonts w:asciiTheme="majorBidi" w:hAnsiTheme="majorBidi" w:cstheme="majorBidi"/>
          <w:sz w:val="20"/>
          <w:szCs w:val="20"/>
        </w:rPr>
        <w:t>is negatively regulated by TGF-β. Carcinogenesis, 29(5):905-912.</w:t>
      </w:r>
    </w:p>
    <w:p w:rsidR="003B6367" w:rsidRPr="008E1DF4" w:rsidRDefault="001141AC"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 xml:space="preserve"> </w:t>
      </w:r>
      <w:r w:rsidR="00EF0688" w:rsidRPr="008E1DF4">
        <w:rPr>
          <w:rFonts w:asciiTheme="majorBidi" w:hAnsiTheme="majorBidi" w:cstheme="majorBidi"/>
          <w:sz w:val="20"/>
          <w:szCs w:val="20"/>
        </w:rPr>
        <w:t>[</w:t>
      </w:r>
      <w:r w:rsidR="00D57ADE" w:rsidRPr="008E1DF4">
        <w:rPr>
          <w:rFonts w:asciiTheme="majorBidi" w:hAnsiTheme="majorBidi" w:cstheme="majorBidi"/>
          <w:sz w:val="20"/>
          <w:szCs w:val="20"/>
        </w:rPr>
        <w:t>59</w:t>
      </w:r>
      <w:proofErr w:type="gramStart"/>
      <w:r w:rsidR="00EF0688"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r>
      <w:proofErr w:type="gramEnd"/>
      <w:r w:rsidR="006D4D22" w:rsidRPr="008E1DF4">
        <w:rPr>
          <w:rFonts w:asciiTheme="majorBidi" w:hAnsiTheme="majorBidi" w:cstheme="majorBidi"/>
          <w:sz w:val="20"/>
          <w:szCs w:val="20"/>
        </w:rPr>
        <w:t>Dong M., How T., Kirkbride K.C., et al. (2007</w:t>
      </w:r>
      <w:proofErr w:type="gramStart"/>
      <w:r w:rsidR="006D4D22" w:rsidRPr="008E1DF4">
        <w:rPr>
          <w:rFonts w:asciiTheme="majorBidi" w:hAnsiTheme="majorBidi" w:cstheme="majorBidi"/>
          <w:sz w:val="20"/>
          <w:szCs w:val="20"/>
        </w:rPr>
        <w:t>)The</w:t>
      </w:r>
      <w:proofErr w:type="gramEnd"/>
      <w:r w:rsidR="006D4D22" w:rsidRPr="008E1DF4">
        <w:rPr>
          <w:rFonts w:asciiTheme="majorBidi" w:hAnsiTheme="majorBidi" w:cstheme="majorBidi"/>
          <w:sz w:val="20"/>
          <w:szCs w:val="20"/>
        </w:rPr>
        <w:t xml:space="preserve"> type III TGF-ß rec</w:t>
      </w:r>
      <w:r w:rsidR="00E8171E" w:rsidRPr="008E1DF4">
        <w:rPr>
          <w:rFonts w:asciiTheme="majorBidi" w:hAnsiTheme="majorBidi" w:cstheme="majorBidi"/>
          <w:sz w:val="20"/>
          <w:szCs w:val="20"/>
        </w:rPr>
        <w:t xml:space="preserve">eptor suppresses breast cancer </w:t>
      </w:r>
      <w:r w:rsidR="003B6367" w:rsidRPr="008E1DF4">
        <w:rPr>
          <w:rFonts w:asciiTheme="majorBidi" w:hAnsiTheme="majorBidi" w:cstheme="majorBidi"/>
          <w:sz w:val="20"/>
          <w:szCs w:val="20"/>
        </w:rPr>
        <w:t>progression. J Clin Invest</w:t>
      </w:r>
      <w:proofErr w:type="gramStart"/>
      <w:r w:rsidR="003B6367" w:rsidRPr="008E1DF4">
        <w:rPr>
          <w:rFonts w:asciiTheme="majorBidi" w:hAnsiTheme="majorBidi" w:cstheme="majorBidi"/>
          <w:sz w:val="20"/>
          <w:szCs w:val="20"/>
        </w:rPr>
        <w:t>;117:206</w:t>
      </w:r>
      <w:proofErr w:type="gramEnd"/>
      <w:r w:rsidR="003B6367" w:rsidRPr="008E1DF4">
        <w:rPr>
          <w:rFonts w:asciiTheme="majorBidi" w:hAnsiTheme="majorBidi" w:cstheme="majorBidi"/>
          <w:sz w:val="20"/>
          <w:szCs w:val="20"/>
        </w:rPr>
        <w:t>-17.</w:t>
      </w:r>
    </w:p>
    <w:p w:rsidR="003B6367"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D57ADE" w:rsidRPr="008E1DF4">
        <w:rPr>
          <w:rFonts w:asciiTheme="majorBidi" w:hAnsiTheme="majorBidi" w:cstheme="majorBidi"/>
          <w:sz w:val="20"/>
          <w:szCs w:val="20"/>
        </w:rPr>
        <w:t>60</w:t>
      </w:r>
      <w:proofErr w:type="gramStart"/>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r>
      <w:proofErr w:type="gramEnd"/>
      <w:r w:rsidR="006D4D22" w:rsidRPr="008E1DF4">
        <w:rPr>
          <w:rFonts w:asciiTheme="majorBidi" w:hAnsiTheme="majorBidi" w:cstheme="majorBidi"/>
          <w:sz w:val="20"/>
          <w:szCs w:val="20"/>
        </w:rPr>
        <w:t>Criswell T.L.</w:t>
      </w:r>
      <w:proofErr w:type="gramStart"/>
      <w:r w:rsidR="006D4D22" w:rsidRPr="008E1DF4">
        <w:rPr>
          <w:rFonts w:asciiTheme="majorBidi" w:hAnsiTheme="majorBidi" w:cstheme="majorBidi"/>
          <w:sz w:val="20"/>
          <w:szCs w:val="20"/>
        </w:rPr>
        <w:t>,  Dumont</w:t>
      </w:r>
      <w:proofErr w:type="gramEnd"/>
      <w:r w:rsidR="006D4D22" w:rsidRPr="008E1DF4">
        <w:rPr>
          <w:rFonts w:asciiTheme="majorBidi" w:hAnsiTheme="majorBidi" w:cstheme="majorBidi"/>
          <w:sz w:val="20"/>
          <w:szCs w:val="20"/>
        </w:rPr>
        <w:t xml:space="preserve"> N., Joey V., Barnett.,</w:t>
      </w:r>
      <w:r w:rsidR="001141AC" w:rsidRPr="008E1DF4">
        <w:rPr>
          <w:rFonts w:asciiTheme="majorBidi" w:hAnsiTheme="majorBidi" w:cstheme="majorBidi"/>
          <w:sz w:val="20"/>
          <w:szCs w:val="20"/>
        </w:rPr>
        <w:t xml:space="preserve">et al. (2008). </w:t>
      </w:r>
      <w:proofErr w:type="gramStart"/>
      <w:r w:rsidR="001141AC" w:rsidRPr="008E1DF4">
        <w:rPr>
          <w:rFonts w:asciiTheme="majorBidi" w:hAnsiTheme="majorBidi" w:cstheme="majorBidi"/>
          <w:sz w:val="20"/>
          <w:szCs w:val="20"/>
        </w:rPr>
        <w:t xml:space="preserve">Knockdown of </w:t>
      </w:r>
      <w:r w:rsidR="003B6367" w:rsidRPr="008E1DF4">
        <w:rPr>
          <w:rFonts w:asciiTheme="majorBidi" w:hAnsiTheme="majorBidi" w:cstheme="majorBidi"/>
          <w:sz w:val="20"/>
          <w:szCs w:val="20"/>
        </w:rPr>
        <w:t xml:space="preserve">Transforming Growth </w:t>
      </w:r>
      <w:r w:rsidR="00C41AF6" w:rsidRPr="008E1DF4">
        <w:rPr>
          <w:rFonts w:asciiTheme="majorBidi" w:hAnsiTheme="majorBidi" w:cstheme="majorBidi"/>
          <w:sz w:val="20"/>
          <w:szCs w:val="20"/>
        </w:rPr>
        <w:t xml:space="preserve">   Factor-β Type III Receptor Impairs Motility and Invasion of Metastatic Cancer </w:t>
      </w:r>
      <w:r w:rsidR="00E8171E" w:rsidRPr="008E1DF4">
        <w:rPr>
          <w:rFonts w:asciiTheme="majorBidi" w:hAnsiTheme="majorBidi" w:cstheme="majorBidi"/>
          <w:sz w:val="20"/>
          <w:szCs w:val="20"/>
        </w:rPr>
        <w:t>Cells.</w:t>
      </w:r>
      <w:proofErr w:type="gramEnd"/>
      <w:r w:rsidR="00E8171E" w:rsidRPr="008E1DF4">
        <w:rPr>
          <w:rFonts w:asciiTheme="majorBidi" w:hAnsiTheme="majorBidi" w:cstheme="majorBidi"/>
          <w:sz w:val="20"/>
          <w:szCs w:val="20"/>
        </w:rPr>
        <w:t xml:space="preserve"> Cancer Res. </w:t>
      </w:r>
      <w:r w:rsidR="00C41AF6" w:rsidRPr="008E1DF4">
        <w:rPr>
          <w:rFonts w:asciiTheme="majorBidi" w:hAnsiTheme="majorBidi" w:cstheme="majorBidi"/>
          <w:sz w:val="20"/>
          <w:szCs w:val="20"/>
        </w:rPr>
        <w:t>Carlos L. Arteaga, Division of Oncology, Vanderbil</w:t>
      </w:r>
      <w:r w:rsidR="00E8171E" w:rsidRPr="008E1DF4">
        <w:rPr>
          <w:rFonts w:asciiTheme="majorBidi" w:hAnsiTheme="majorBidi" w:cstheme="majorBidi"/>
          <w:sz w:val="20"/>
          <w:szCs w:val="20"/>
        </w:rPr>
        <w:t>t University Medical Center, TN</w:t>
      </w:r>
      <w:r w:rsidR="003B6367" w:rsidRPr="008E1DF4">
        <w:rPr>
          <w:rFonts w:asciiTheme="majorBidi" w:hAnsiTheme="majorBidi" w:cstheme="majorBidi"/>
          <w:sz w:val="20"/>
          <w:szCs w:val="20"/>
        </w:rPr>
        <w:t>37232-6307.</w:t>
      </w:r>
    </w:p>
    <w:p w:rsidR="003B6367"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D57ADE" w:rsidRPr="008E1DF4">
        <w:rPr>
          <w:rFonts w:asciiTheme="majorBidi" w:hAnsiTheme="majorBidi" w:cstheme="majorBidi"/>
          <w:sz w:val="20"/>
          <w:szCs w:val="20"/>
        </w:rPr>
        <w:t>61</w:t>
      </w:r>
      <w:proofErr w:type="gramStart"/>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r>
      <w:proofErr w:type="gramEnd"/>
      <w:r w:rsidR="006D4D22" w:rsidRPr="008E1DF4">
        <w:rPr>
          <w:rFonts w:asciiTheme="majorBidi" w:hAnsiTheme="majorBidi" w:cstheme="majorBidi"/>
          <w:sz w:val="20"/>
          <w:szCs w:val="20"/>
        </w:rPr>
        <w:t xml:space="preserve">Mythreye K </w:t>
      </w:r>
      <w:proofErr w:type="gramStart"/>
      <w:r w:rsidR="006D4D22" w:rsidRPr="008E1DF4">
        <w:rPr>
          <w:rFonts w:asciiTheme="majorBidi" w:hAnsiTheme="majorBidi" w:cstheme="majorBidi"/>
          <w:sz w:val="20"/>
          <w:szCs w:val="20"/>
        </w:rPr>
        <w:t>and  Blobe</w:t>
      </w:r>
      <w:proofErr w:type="gramEnd"/>
      <w:r w:rsidR="006D4D22" w:rsidRPr="008E1DF4">
        <w:rPr>
          <w:rFonts w:asciiTheme="majorBidi" w:hAnsiTheme="majorBidi" w:cstheme="majorBidi"/>
          <w:sz w:val="20"/>
          <w:szCs w:val="20"/>
        </w:rPr>
        <w:t xml:space="preserve"> G.C. (2009</w:t>
      </w:r>
      <w:r w:rsidR="000D61ED" w:rsidRPr="008E1DF4">
        <w:rPr>
          <w:rFonts w:asciiTheme="majorBidi" w:hAnsiTheme="majorBidi" w:cstheme="majorBidi"/>
          <w:sz w:val="20"/>
          <w:szCs w:val="20"/>
        </w:rPr>
        <w:t xml:space="preserve">) .The type </w:t>
      </w:r>
      <w:r w:rsidR="006D4D22" w:rsidRPr="008E1DF4">
        <w:rPr>
          <w:rFonts w:asciiTheme="majorBidi" w:hAnsiTheme="majorBidi" w:cstheme="majorBidi"/>
          <w:sz w:val="20"/>
          <w:szCs w:val="20"/>
        </w:rPr>
        <w:t>III TGFbeta receptor regulates directional migrat</w:t>
      </w:r>
      <w:r w:rsidR="000D61ED" w:rsidRPr="008E1DF4">
        <w:rPr>
          <w:rFonts w:asciiTheme="majorBidi" w:hAnsiTheme="majorBidi" w:cstheme="majorBidi"/>
          <w:sz w:val="20"/>
          <w:szCs w:val="20"/>
        </w:rPr>
        <w:t xml:space="preserve">ion: </w:t>
      </w:r>
      <w:r w:rsidR="003B6367" w:rsidRPr="008E1DF4">
        <w:rPr>
          <w:rFonts w:asciiTheme="majorBidi" w:hAnsiTheme="majorBidi" w:cstheme="majorBidi"/>
          <w:sz w:val="20"/>
          <w:szCs w:val="20"/>
        </w:rPr>
        <w:t xml:space="preserve">new tricks for an old dog. </w:t>
      </w:r>
      <w:proofErr w:type="gramStart"/>
      <w:r w:rsidR="003B6367" w:rsidRPr="008E1DF4">
        <w:rPr>
          <w:rFonts w:asciiTheme="majorBidi" w:hAnsiTheme="majorBidi" w:cstheme="majorBidi"/>
          <w:sz w:val="20"/>
          <w:szCs w:val="20"/>
        </w:rPr>
        <w:t>Cell Cycle.</w:t>
      </w:r>
      <w:proofErr w:type="gramEnd"/>
      <w:r w:rsidR="003B6367" w:rsidRPr="008E1DF4">
        <w:rPr>
          <w:rFonts w:asciiTheme="majorBidi" w:hAnsiTheme="majorBidi" w:cstheme="majorBidi"/>
          <w:sz w:val="20"/>
          <w:szCs w:val="20"/>
        </w:rPr>
        <w:t xml:space="preserve">  8(19):3069-70. </w:t>
      </w:r>
      <w:proofErr w:type="gramStart"/>
      <w:r w:rsidR="003B6367" w:rsidRPr="008E1DF4">
        <w:rPr>
          <w:rFonts w:asciiTheme="majorBidi" w:hAnsiTheme="majorBidi" w:cstheme="majorBidi"/>
          <w:sz w:val="20"/>
          <w:szCs w:val="20"/>
        </w:rPr>
        <w:t>Epub2009 Oct 8.</w:t>
      </w:r>
      <w:proofErr w:type="gramEnd"/>
    </w:p>
    <w:p w:rsidR="003B6367"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84131D" w:rsidRPr="008E1DF4">
        <w:rPr>
          <w:rFonts w:asciiTheme="majorBidi" w:hAnsiTheme="majorBidi" w:cstheme="majorBidi"/>
          <w:sz w:val="20"/>
          <w:szCs w:val="20"/>
        </w:rPr>
        <w:t>6</w:t>
      </w:r>
      <w:r w:rsidR="00D57ADE" w:rsidRPr="008E1DF4">
        <w:rPr>
          <w:rFonts w:asciiTheme="majorBidi" w:hAnsiTheme="majorBidi" w:cstheme="majorBidi"/>
          <w:sz w:val="20"/>
          <w:szCs w:val="20"/>
        </w:rPr>
        <w:t>2</w:t>
      </w:r>
      <w:proofErr w:type="gramStart"/>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r>
      <w:proofErr w:type="gramEnd"/>
      <w:r w:rsidR="006D4D22" w:rsidRPr="008E1DF4">
        <w:rPr>
          <w:rFonts w:asciiTheme="majorBidi" w:hAnsiTheme="majorBidi" w:cstheme="majorBidi"/>
          <w:sz w:val="20"/>
          <w:szCs w:val="20"/>
        </w:rPr>
        <w:t>Dong M., How T., Kirkbride K.C., et al. (2007</w:t>
      </w:r>
      <w:proofErr w:type="gramStart"/>
      <w:r w:rsidR="006D4D22" w:rsidRPr="008E1DF4">
        <w:rPr>
          <w:rFonts w:asciiTheme="majorBidi" w:hAnsiTheme="majorBidi" w:cstheme="majorBidi"/>
          <w:sz w:val="20"/>
          <w:szCs w:val="20"/>
        </w:rPr>
        <w:t>)The</w:t>
      </w:r>
      <w:proofErr w:type="gramEnd"/>
      <w:r w:rsidR="006D4D22" w:rsidRPr="008E1DF4">
        <w:rPr>
          <w:rFonts w:asciiTheme="majorBidi" w:hAnsiTheme="majorBidi" w:cstheme="majorBidi"/>
          <w:sz w:val="20"/>
          <w:szCs w:val="20"/>
        </w:rPr>
        <w:t xml:space="preserve"> type III TGF-ß receptor suppresses breast cancer </w:t>
      </w:r>
      <w:r w:rsidR="003B6367" w:rsidRPr="008E1DF4">
        <w:rPr>
          <w:rFonts w:asciiTheme="majorBidi" w:hAnsiTheme="majorBidi" w:cstheme="majorBidi"/>
          <w:sz w:val="20"/>
          <w:szCs w:val="20"/>
        </w:rPr>
        <w:t>progression. J Clin Invest</w:t>
      </w:r>
      <w:proofErr w:type="gramStart"/>
      <w:r w:rsidR="003B6367" w:rsidRPr="008E1DF4">
        <w:rPr>
          <w:rFonts w:asciiTheme="majorBidi" w:hAnsiTheme="majorBidi" w:cstheme="majorBidi"/>
          <w:sz w:val="20"/>
          <w:szCs w:val="20"/>
        </w:rPr>
        <w:t>;117:206</w:t>
      </w:r>
      <w:proofErr w:type="gramEnd"/>
      <w:r w:rsidR="003B6367" w:rsidRPr="008E1DF4">
        <w:rPr>
          <w:rFonts w:asciiTheme="majorBidi" w:hAnsiTheme="majorBidi" w:cstheme="majorBidi"/>
          <w:sz w:val="20"/>
          <w:szCs w:val="20"/>
        </w:rPr>
        <w:t>-17.</w:t>
      </w:r>
    </w:p>
    <w:p w:rsidR="003A7BF2"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84131D" w:rsidRPr="008E1DF4">
        <w:rPr>
          <w:rFonts w:asciiTheme="majorBidi" w:hAnsiTheme="majorBidi" w:cstheme="majorBidi"/>
          <w:sz w:val="20"/>
          <w:szCs w:val="20"/>
        </w:rPr>
        <w:t>6</w:t>
      </w:r>
      <w:r w:rsidR="006C52FC" w:rsidRPr="008E1DF4">
        <w:rPr>
          <w:rFonts w:asciiTheme="majorBidi" w:hAnsiTheme="majorBidi" w:cstheme="majorBidi"/>
          <w:sz w:val="20"/>
          <w:szCs w:val="20"/>
        </w:rPr>
        <w:t>3</w:t>
      </w:r>
      <w:proofErr w:type="gramStart"/>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t>Chen C.L., Huang S.S., and Huang J.S. (2006).</w:t>
      </w:r>
      <w:proofErr w:type="gramEnd"/>
      <w:r w:rsidR="006D4D22" w:rsidRPr="008E1DF4">
        <w:rPr>
          <w:rFonts w:asciiTheme="majorBidi" w:hAnsiTheme="majorBidi" w:cstheme="majorBidi"/>
          <w:sz w:val="20"/>
          <w:szCs w:val="20"/>
        </w:rPr>
        <w:t xml:space="preserve"> Cellular hepara</w:t>
      </w:r>
      <w:r w:rsidR="00E8171E" w:rsidRPr="008E1DF4">
        <w:rPr>
          <w:rFonts w:asciiTheme="majorBidi" w:hAnsiTheme="majorBidi" w:cstheme="majorBidi"/>
          <w:sz w:val="20"/>
          <w:szCs w:val="20"/>
        </w:rPr>
        <w:t>n sulfate negatively modulate</w:t>
      </w:r>
      <w:r w:rsidR="003A7BF2" w:rsidRPr="008E1DF4">
        <w:rPr>
          <w:rFonts w:asciiTheme="majorBidi" w:hAnsiTheme="majorBidi" w:cstheme="majorBidi"/>
          <w:sz w:val="20"/>
          <w:szCs w:val="20"/>
        </w:rPr>
        <w:t>transforming growth factor-beta1 (TGF-beta1) responsiveness in epit</w:t>
      </w:r>
      <w:r w:rsidR="00E8171E" w:rsidRPr="008E1DF4">
        <w:rPr>
          <w:rFonts w:asciiTheme="majorBidi" w:hAnsiTheme="majorBidi" w:cstheme="majorBidi"/>
          <w:sz w:val="20"/>
          <w:szCs w:val="20"/>
        </w:rPr>
        <w:t xml:space="preserve">helial cells. </w:t>
      </w:r>
      <w:proofErr w:type="gramStart"/>
      <w:r w:rsidR="00E8171E" w:rsidRPr="008E1DF4">
        <w:rPr>
          <w:rFonts w:asciiTheme="majorBidi" w:hAnsiTheme="majorBidi" w:cstheme="majorBidi"/>
          <w:sz w:val="20"/>
          <w:szCs w:val="20"/>
        </w:rPr>
        <w:t>J Biol Chem.</w:t>
      </w:r>
      <w:proofErr w:type="gramEnd"/>
      <w:r w:rsidR="00E8171E" w:rsidRPr="008E1DF4">
        <w:rPr>
          <w:rFonts w:asciiTheme="majorBidi" w:hAnsiTheme="majorBidi" w:cstheme="majorBidi"/>
          <w:sz w:val="20"/>
          <w:szCs w:val="20"/>
        </w:rPr>
        <w:t xml:space="preserve">  </w:t>
      </w:r>
      <w:r w:rsidR="003A7BF2" w:rsidRPr="008E1DF4">
        <w:rPr>
          <w:rFonts w:asciiTheme="majorBidi" w:hAnsiTheme="majorBidi" w:cstheme="majorBidi"/>
          <w:sz w:val="20"/>
          <w:szCs w:val="20"/>
        </w:rPr>
        <w:t>28</w:t>
      </w:r>
      <w:proofErr w:type="gramStart"/>
      <w:r w:rsidR="003A7BF2" w:rsidRPr="008E1DF4">
        <w:rPr>
          <w:rFonts w:asciiTheme="majorBidi" w:hAnsiTheme="majorBidi" w:cstheme="majorBidi"/>
          <w:sz w:val="20"/>
          <w:szCs w:val="20"/>
        </w:rPr>
        <w:t>;281</w:t>
      </w:r>
      <w:proofErr w:type="gramEnd"/>
      <w:r w:rsidR="003A7BF2" w:rsidRPr="008E1DF4">
        <w:rPr>
          <w:rFonts w:asciiTheme="majorBidi" w:hAnsiTheme="majorBidi" w:cstheme="majorBidi"/>
          <w:sz w:val="20"/>
          <w:szCs w:val="20"/>
        </w:rPr>
        <w:t>(17):11506-14.</w:t>
      </w:r>
    </w:p>
    <w:p w:rsidR="003A7BF2"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E93B7C" w:rsidRPr="008E1DF4">
        <w:rPr>
          <w:rFonts w:asciiTheme="majorBidi" w:hAnsiTheme="majorBidi" w:cstheme="majorBidi"/>
          <w:sz w:val="20"/>
          <w:szCs w:val="20"/>
        </w:rPr>
        <w:t>6</w:t>
      </w:r>
      <w:r w:rsidR="006C52FC" w:rsidRPr="008E1DF4">
        <w:rPr>
          <w:rFonts w:asciiTheme="majorBidi" w:hAnsiTheme="majorBidi" w:cstheme="majorBidi"/>
          <w:sz w:val="20"/>
          <w:szCs w:val="20"/>
        </w:rPr>
        <w:t>4</w:t>
      </w:r>
      <w:proofErr w:type="gramStart"/>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r>
      <w:proofErr w:type="gramEnd"/>
      <w:r w:rsidR="006D4D22" w:rsidRPr="008E1DF4">
        <w:rPr>
          <w:rFonts w:asciiTheme="majorBidi" w:hAnsiTheme="majorBidi" w:cstheme="majorBidi"/>
          <w:sz w:val="20"/>
          <w:szCs w:val="20"/>
        </w:rPr>
        <w:t>Juárez P., Vilchis-Landeros M.M., Ponce-Coria J., Mendoza V.,</w:t>
      </w:r>
      <w:r w:rsidR="00CC7CDB" w:rsidRPr="008E1DF4">
        <w:rPr>
          <w:rFonts w:asciiTheme="majorBidi" w:hAnsiTheme="majorBidi" w:cstheme="majorBidi"/>
          <w:sz w:val="20"/>
          <w:szCs w:val="20"/>
        </w:rPr>
        <w:t xml:space="preserve">et a.l </w:t>
      </w:r>
      <w:r w:rsidR="00E8171E" w:rsidRPr="008E1DF4">
        <w:rPr>
          <w:rFonts w:asciiTheme="majorBidi" w:hAnsiTheme="majorBidi" w:cstheme="majorBidi"/>
          <w:sz w:val="20"/>
          <w:szCs w:val="20"/>
        </w:rPr>
        <w:t xml:space="preserve">(2006), (Soluble betaglycan </w:t>
      </w:r>
      <w:r w:rsidR="00CC7CDB" w:rsidRPr="008E1DF4">
        <w:rPr>
          <w:rFonts w:asciiTheme="majorBidi" w:hAnsiTheme="majorBidi" w:cstheme="majorBidi"/>
          <w:sz w:val="20"/>
          <w:szCs w:val="20"/>
        </w:rPr>
        <w:t>reduces renal damage progression in db/db.</w:t>
      </w:r>
      <w:r w:rsidR="003A7BF2" w:rsidRPr="008E1DF4">
        <w:rPr>
          <w:rFonts w:asciiTheme="majorBidi" w:hAnsiTheme="majorBidi" w:cstheme="majorBidi"/>
          <w:sz w:val="20"/>
          <w:szCs w:val="20"/>
        </w:rPr>
        <w:t xml:space="preserve"> Am J Physiol Renal Physiol 292:F321-</w:t>
      </w:r>
      <w:proofErr w:type="gramStart"/>
      <w:r w:rsidR="003A7BF2" w:rsidRPr="008E1DF4">
        <w:rPr>
          <w:rFonts w:asciiTheme="majorBidi" w:hAnsiTheme="majorBidi" w:cstheme="majorBidi"/>
          <w:sz w:val="20"/>
          <w:szCs w:val="20"/>
        </w:rPr>
        <w:t>F32</w:t>
      </w:r>
      <w:proofErr w:type="gramEnd"/>
    </w:p>
    <w:p w:rsidR="003A7BF2"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E93B7C" w:rsidRPr="008E1DF4">
        <w:rPr>
          <w:rFonts w:asciiTheme="majorBidi" w:hAnsiTheme="majorBidi" w:cstheme="majorBidi"/>
          <w:sz w:val="20"/>
          <w:szCs w:val="20"/>
        </w:rPr>
        <w:t>6</w:t>
      </w:r>
      <w:r w:rsidR="006C52FC" w:rsidRPr="008E1DF4">
        <w:rPr>
          <w:rFonts w:asciiTheme="majorBidi" w:hAnsiTheme="majorBidi" w:cstheme="majorBidi"/>
          <w:sz w:val="20"/>
          <w:szCs w:val="20"/>
        </w:rPr>
        <w:t>5</w:t>
      </w:r>
      <w:proofErr w:type="gramStart"/>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r>
      <w:proofErr w:type="gramEnd"/>
      <w:r w:rsidR="006D4D22" w:rsidRPr="008E1DF4">
        <w:rPr>
          <w:rFonts w:asciiTheme="majorBidi" w:hAnsiTheme="majorBidi" w:cstheme="majorBidi"/>
          <w:sz w:val="20"/>
          <w:szCs w:val="20"/>
        </w:rPr>
        <w:t>Criswell T.L.</w:t>
      </w:r>
      <w:proofErr w:type="gramStart"/>
      <w:r w:rsidR="006D4D22" w:rsidRPr="008E1DF4">
        <w:rPr>
          <w:rFonts w:asciiTheme="majorBidi" w:hAnsiTheme="majorBidi" w:cstheme="majorBidi"/>
          <w:sz w:val="20"/>
          <w:szCs w:val="20"/>
        </w:rPr>
        <w:t>,  Dumont</w:t>
      </w:r>
      <w:proofErr w:type="gramEnd"/>
      <w:r w:rsidR="006D4D22" w:rsidRPr="008E1DF4">
        <w:rPr>
          <w:rFonts w:asciiTheme="majorBidi" w:hAnsiTheme="majorBidi" w:cstheme="majorBidi"/>
          <w:sz w:val="20"/>
          <w:szCs w:val="20"/>
        </w:rPr>
        <w:t xml:space="preserve"> N., Joey V., Barnett.,</w:t>
      </w:r>
      <w:r w:rsidR="00CC7CDB" w:rsidRPr="008E1DF4">
        <w:rPr>
          <w:rFonts w:asciiTheme="majorBidi" w:hAnsiTheme="majorBidi" w:cstheme="majorBidi"/>
          <w:sz w:val="20"/>
          <w:szCs w:val="20"/>
        </w:rPr>
        <w:t>et al</w:t>
      </w:r>
      <w:r w:rsidR="006D4D22" w:rsidRPr="008E1DF4">
        <w:rPr>
          <w:rFonts w:asciiTheme="majorBidi" w:hAnsiTheme="majorBidi" w:cstheme="majorBidi"/>
          <w:sz w:val="20"/>
          <w:szCs w:val="20"/>
        </w:rPr>
        <w:t xml:space="preserve">. (2008). </w:t>
      </w:r>
      <w:proofErr w:type="gramStart"/>
      <w:r w:rsidR="006D4D22" w:rsidRPr="008E1DF4">
        <w:rPr>
          <w:rFonts w:asciiTheme="majorBidi" w:hAnsiTheme="majorBidi" w:cstheme="majorBidi"/>
          <w:sz w:val="20"/>
          <w:szCs w:val="20"/>
        </w:rPr>
        <w:t>Knockdown of the</w:t>
      </w:r>
      <w:r w:rsidR="00AB0A80" w:rsidRPr="008E1DF4">
        <w:rPr>
          <w:rFonts w:asciiTheme="majorBidi" w:hAnsiTheme="majorBidi" w:cstheme="majorBidi"/>
          <w:sz w:val="20"/>
          <w:szCs w:val="20"/>
        </w:rPr>
        <w:t xml:space="preserve"> </w:t>
      </w:r>
      <w:r w:rsidR="003A7BF2" w:rsidRPr="008E1DF4">
        <w:rPr>
          <w:rFonts w:asciiTheme="majorBidi" w:hAnsiTheme="majorBidi" w:cstheme="majorBidi"/>
          <w:sz w:val="20"/>
          <w:szCs w:val="20"/>
        </w:rPr>
        <w:t>Transforming Growth Factor-β Type III Receptor Impairs Motility and Invasion of Metastatic Cancer Cells.</w:t>
      </w:r>
      <w:proofErr w:type="gramEnd"/>
      <w:r w:rsidR="003A7BF2" w:rsidRPr="008E1DF4">
        <w:rPr>
          <w:rFonts w:asciiTheme="majorBidi" w:hAnsiTheme="majorBidi" w:cstheme="majorBidi"/>
          <w:sz w:val="20"/>
          <w:szCs w:val="20"/>
        </w:rPr>
        <w:t xml:space="preserve"> Cancer Res. Carlos L. Arteaga, Division of Oncology, Vanderbilt</w:t>
      </w:r>
      <w:r w:rsidR="00E8171E" w:rsidRPr="008E1DF4">
        <w:rPr>
          <w:rFonts w:asciiTheme="majorBidi" w:hAnsiTheme="majorBidi" w:cstheme="majorBidi"/>
          <w:sz w:val="20"/>
          <w:szCs w:val="20"/>
        </w:rPr>
        <w:t xml:space="preserve"> University Medical Center, TN </w:t>
      </w:r>
      <w:r w:rsidR="003A7BF2" w:rsidRPr="008E1DF4">
        <w:rPr>
          <w:rFonts w:asciiTheme="majorBidi" w:hAnsiTheme="majorBidi" w:cstheme="majorBidi"/>
          <w:sz w:val="20"/>
          <w:szCs w:val="20"/>
        </w:rPr>
        <w:t>37232-6307.</w:t>
      </w:r>
    </w:p>
    <w:p w:rsidR="003A7BF2"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E93B7C" w:rsidRPr="008E1DF4">
        <w:rPr>
          <w:rFonts w:asciiTheme="majorBidi" w:hAnsiTheme="majorBidi" w:cstheme="majorBidi"/>
          <w:sz w:val="20"/>
          <w:szCs w:val="20"/>
        </w:rPr>
        <w:t>6</w:t>
      </w:r>
      <w:r w:rsidR="006C52FC" w:rsidRPr="008E1DF4">
        <w:rPr>
          <w:rFonts w:asciiTheme="majorBidi" w:hAnsiTheme="majorBidi" w:cstheme="majorBidi"/>
          <w:sz w:val="20"/>
          <w:szCs w:val="20"/>
        </w:rPr>
        <w:t>6</w:t>
      </w:r>
      <w:proofErr w:type="gramStart"/>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r>
      <w:proofErr w:type="gramEnd"/>
      <w:r w:rsidR="006D4D22" w:rsidRPr="008E1DF4">
        <w:rPr>
          <w:rFonts w:asciiTheme="majorBidi" w:hAnsiTheme="majorBidi" w:cstheme="majorBidi"/>
          <w:sz w:val="20"/>
          <w:szCs w:val="20"/>
        </w:rPr>
        <w:t>Thiery J.P.</w:t>
      </w:r>
      <w:proofErr w:type="gramStart"/>
      <w:r w:rsidR="006D4D22" w:rsidRPr="008E1DF4">
        <w:rPr>
          <w:rFonts w:asciiTheme="majorBidi" w:hAnsiTheme="majorBidi" w:cstheme="majorBidi"/>
          <w:sz w:val="20"/>
          <w:szCs w:val="20"/>
        </w:rPr>
        <w:t>,and</w:t>
      </w:r>
      <w:proofErr w:type="gramEnd"/>
      <w:r w:rsidR="006D4D22" w:rsidRPr="008E1DF4">
        <w:rPr>
          <w:rFonts w:asciiTheme="majorBidi" w:hAnsiTheme="majorBidi" w:cstheme="majorBidi"/>
          <w:sz w:val="20"/>
          <w:szCs w:val="20"/>
        </w:rPr>
        <w:t xml:space="preserve"> Sleeman J.P. (2006). Complex networks orch</w:t>
      </w:r>
      <w:r w:rsidR="00E8171E" w:rsidRPr="008E1DF4">
        <w:rPr>
          <w:rFonts w:asciiTheme="majorBidi" w:hAnsiTheme="majorBidi" w:cstheme="majorBidi"/>
          <w:sz w:val="20"/>
          <w:szCs w:val="20"/>
        </w:rPr>
        <w:t>estrate epithelial-</w:t>
      </w:r>
      <w:proofErr w:type="gramStart"/>
      <w:r w:rsidR="00E8171E" w:rsidRPr="008E1DF4">
        <w:rPr>
          <w:rFonts w:asciiTheme="majorBidi" w:hAnsiTheme="majorBidi" w:cstheme="majorBidi"/>
          <w:sz w:val="20"/>
          <w:szCs w:val="20"/>
        </w:rPr>
        <w:t xml:space="preserve">mesenchymal </w:t>
      </w:r>
      <w:r w:rsidR="003A7BF2" w:rsidRPr="008E1DF4">
        <w:rPr>
          <w:rFonts w:asciiTheme="majorBidi" w:hAnsiTheme="majorBidi" w:cstheme="majorBidi"/>
          <w:sz w:val="20"/>
          <w:szCs w:val="20"/>
        </w:rPr>
        <w:t xml:space="preserve"> transitions</w:t>
      </w:r>
      <w:proofErr w:type="gramEnd"/>
      <w:r w:rsidR="003A7BF2" w:rsidRPr="008E1DF4">
        <w:rPr>
          <w:rFonts w:asciiTheme="majorBidi" w:hAnsiTheme="majorBidi" w:cstheme="majorBidi"/>
          <w:sz w:val="20"/>
          <w:szCs w:val="20"/>
        </w:rPr>
        <w:t>. Nat Rev Mol Cell Biol 7(2):131-142.</w:t>
      </w:r>
    </w:p>
    <w:p w:rsidR="003A7BF2"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E93B7C" w:rsidRPr="008E1DF4">
        <w:rPr>
          <w:rFonts w:asciiTheme="majorBidi" w:hAnsiTheme="majorBidi" w:cstheme="majorBidi"/>
          <w:sz w:val="20"/>
          <w:szCs w:val="20"/>
        </w:rPr>
        <w:t>6</w:t>
      </w:r>
      <w:r w:rsidR="006C52FC" w:rsidRPr="008E1DF4">
        <w:rPr>
          <w:rFonts w:asciiTheme="majorBidi" w:hAnsiTheme="majorBidi" w:cstheme="majorBidi"/>
          <w:sz w:val="20"/>
          <w:szCs w:val="20"/>
        </w:rPr>
        <w:t>7</w:t>
      </w:r>
      <w:proofErr w:type="gramStart"/>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r>
      <w:proofErr w:type="gramEnd"/>
      <w:r w:rsidR="006D4D22" w:rsidRPr="008E1DF4">
        <w:rPr>
          <w:rFonts w:asciiTheme="majorBidi" w:hAnsiTheme="majorBidi" w:cstheme="majorBidi"/>
          <w:sz w:val="20"/>
          <w:szCs w:val="20"/>
        </w:rPr>
        <w:t>Gotzmann J., Mikula M., Eger A., Schulte-Hermann R.</w:t>
      </w:r>
      <w:proofErr w:type="gramStart"/>
      <w:r w:rsidR="006D4D22" w:rsidRPr="008E1DF4">
        <w:rPr>
          <w:rFonts w:asciiTheme="majorBidi" w:hAnsiTheme="majorBidi" w:cstheme="majorBidi"/>
          <w:sz w:val="20"/>
          <w:szCs w:val="20"/>
        </w:rPr>
        <w:t>,</w:t>
      </w:r>
      <w:r w:rsidR="00CC7CDB" w:rsidRPr="008E1DF4">
        <w:rPr>
          <w:rFonts w:asciiTheme="majorBidi" w:hAnsiTheme="majorBidi" w:cstheme="majorBidi"/>
          <w:sz w:val="20"/>
          <w:szCs w:val="20"/>
        </w:rPr>
        <w:t>et</w:t>
      </w:r>
      <w:proofErr w:type="gramEnd"/>
      <w:r w:rsidR="00CC7CDB" w:rsidRPr="008E1DF4">
        <w:rPr>
          <w:rFonts w:asciiTheme="majorBidi" w:hAnsiTheme="majorBidi" w:cstheme="majorBidi"/>
          <w:sz w:val="20"/>
          <w:szCs w:val="20"/>
        </w:rPr>
        <w:t xml:space="preserve"> al.</w:t>
      </w:r>
      <w:r w:rsidR="003A7BF2" w:rsidRPr="008E1DF4">
        <w:rPr>
          <w:rFonts w:asciiTheme="majorBidi" w:hAnsiTheme="majorBidi" w:cstheme="majorBidi"/>
          <w:sz w:val="20"/>
          <w:szCs w:val="20"/>
        </w:rPr>
        <w:t xml:space="preserve"> Molecu</w:t>
      </w:r>
      <w:r w:rsidR="00E8171E" w:rsidRPr="008E1DF4">
        <w:rPr>
          <w:rFonts w:asciiTheme="majorBidi" w:hAnsiTheme="majorBidi" w:cstheme="majorBidi"/>
          <w:sz w:val="20"/>
          <w:szCs w:val="20"/>
        </w:rPr>
        <w:t xml:space="preserve">lar aspects of epithelial cell </w:t>
      </w:r>
      <w:r w:rsidR="00741DD6" w:rsidRPr="008E1DF4">
        <w:rPr>
          <w:rFonts w:asciiTheme="majorBidi" w:hAnsiTheme="majorBidi" w:cstheme="majorBidi"/>
          <w:sz w:val="20"/>
          <w:szCs w:val="20"/>
        </w:rPr>
        <w:t>plasticity: implications for local tumor invasion and metastasis.</w:t>
      </w:r>
      <w:r w:rsidR="003A7BF2" w:rsidRPr="008E1DF4">
        <w:rPr>
          <w:rFonts w:asciiTheme="majorBidi" w:hAnsiTheme="majorBidi" w:cstheme="majorBidi"/>
          <w:sz w:val="20"/>
          <w:szCs w:val="20"/>
        </w:rPr>
        <w:t xml:space="preserve"> Mutat Res 566(1):9-20.</w:t>
      </w:r>
    </w:p>
    <w:p w:rsidR="003A7BF2"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E93B7C" w:rsidRPr="008E1DF4">
        <w:rPr>
          <w:rFonts w:asciiTheme="majorBidi" w:hAnsiTheme="majorBidi" w:cstheme="majorBidi"/>
          <w:sz w:val="20"/>
          <w:szCs w:val="20"/>
        </w:rPr>
        <w:t>6</w:t>
      </w:r>
      <w:r w:rsidR="006C52FC" w:rsidRPr="008E1DF4">
        <w:rPr>
          <w:rFonts w:asciiTheme="majorBidi" w:hAnsiTheme="majorBidi" w:cstheme="majorBidi"/>
          <w:sz w:val="20"/>
          <w:szCs w:val="20"/>
        </w:rPr>
        <w:t>8</w:t>
      </w:r>
      <w:proofErr w:type="gramStart"/>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r>
      <w:proofErr w:type="gramEnd"/>
      <w:r w:rsidR="006D4D22" w:rsidRPr="008E1DF4">
        <w:rPr>
          <w:rFonts w:asciiTheme="majorBidi" w:hAnsiTheme="majorBidi" w:cstheme="majorBidi"/>
          <w:sz w:val="20"/>
          <w:szCs w:val="20"/>
        </w:rPr>
        <w:t>Evans R.A, Tian Y.C., Steadman R., Phillips A.O. (2003).TGF-β1-mediated</w:t>
      </w:r>
      <w:r w:rsidR="00E8171E" w:rsidRPr="008E1DF4">
        <w:rPr>
          <w:rFonts w:asciiTheme="majorBidi" w:hAnsiTheme="majorBidi" w:cstheme="majorBidi"/>
          <w:sz w:val="20"/>
          <w:szCs w:val="20"/>
        </w:rPr>
        <w:t xml:space="preserve"> fibroblast-myofibroblast </w:t>
      </w:r>
      <w:r w:rsidR="003A7BF2" w:rsidRPr="008E1DF4">
        <w:rPr>
          <w:rFonts w:asciiTheme="majorBidi" w:hAnsiTheme="majorBidi" w:cstheme="majorBidi"/>
          <w:sz w:val="20"/>
          <w:szCs w:val="20"/>
        </w:rPr>
        <w:t>terminal differentiation-the role of Smad proteins. Exp Cell Res .282:90-100.</w:t>
      </w:r>
    </w:p>
    <w:p w:rsidR="006449F7" w:rsidRPr="008E1DF4" w:rsidRDefault="00EF0688" w:rsidP="00AB0A80">
      <w:pPr>
        <w:widowControl w:val="0"/>
        <w:spacing w:before="100" w:beforeAutospacing="1" w:after="100" w:afterAutospacing="1" w:line="360" w:lineRule="auto"/>
        <w:ind w:left="720" w:hanging="540"/>
        <w:jc w:val="both"/>
        <w:rPr>
          <w:rFonts w:asciiTheme="majorBidi" w:hAnsiTheme="majorBidi" w:cstheme="majorBidi"/>
          <w:sz w:val="20"/>
          <w:szCs w:val="20"/>
        </w:rPr>
      </w:pPr>
      <w:r w:rsidRPr="008E1DF4">
        <w:rPr>
          <w:rFonts w:asciiTheme="majorBidi" w:hAnsiTheme="majorBidi" w:cstheme="majorBidi"/>
          <w:sz w:val="20"/>
          <w:szCs w:val="20"/>
        </w:rPr>
        <w:t>[</w:t>
      </w:r>
      <w:r w:rsidR="006C52FC" w:rsidRPr="008E1DF4">
        <w:rPr>
          <w:rFonts w:asciiTheme="majorBidi" w:hAnsiTheme="majorBidi" w:cstheme="majorBidi"/>
          <w:sz w:val="20"/>
          <w:szCs w:val="20"/>
        </w:rPr>
        <w:t>69</w:t>
      </w:r>
      <w:proofErr w:type="gramStart"/>
      <w:r w:rsidRPr="008E1DF4">
        <w:rPr>
          <w:rFonts w:asciiTheme="majorBidi" w:hAnsiTheme="majorBidi" w:cstheme="majorBidi"/>
          <w:sz w:val="20"/>
          <w:szCs w:val="20"/>
        </w:rPr>
        <w:t xml:space="preserve">] </w:t>
      </w:r>
      <w:r w:rsidR="006D4D22" w:rsidRPr="008E1DF4">
        <w:rPr>
          <w:rFonts w:asciiTheme="majorBidi" w:hAnsiTheme="majorBidi" w:cstheme="majorBidi"/>
          <w:sz w:val="20"/>
          <w:szCs w:val="20"/>
        </w:rPr>
        <w:t>.</w:t>
      </w:r>
      <w:r w:rsidR="006D4D22" w:rsidRPr="008E1DF4">
        <w:rPr>
          <w:rFonts w:asciiTheme="majorBidi" w:hAnsiTheme="majorBidi" w:cstheme="majorBidi"/>
          <w:sz w:val="20"/>
          <w:szCs w:val="20"/>
        </w:rPr>
        <w:tab/>
      </w:r>
      <w:proofErr w:type="gramEnd"/>
      <w:r w:rsidR="006D4D22" w:rsidRPr="008E1DF4">
        <w:rPr>
          <w:rFonts w:asciiTheme="majorBidi" w:hAnsiTheme="majorBidi" w:cstheme="majorBidi"/>
          <w:sz w:val="20"/>
          <w:szCs w:val="20"/>
        </w:rPr>
        <w:t>Simpson R.M.L.</w:t>
      </w:r>
      <w:proofErr w:type="gramStart"/>
      <w:r w:rsidR="006D4D22" w:rsidRPr="008E1DF4">
        <w:rPr>
          <w:rFonts w:asciiTheme="majorBidi" w:hAnsiTheme="majorBidi" w:cstheme="majorBidi"/>
          <w:sz w:val="20"/>
          <w:szCs w:val="20"/>
        </w:rPr>
        <w:t>,  Stephens</w:t>
      </w:r>
      <w:proofErr w:type="gramEnd"/>
      <w:r w:rsidR="006D4D22" w:rsidRPr="008E1DF4">
        <w:rPr>
          <w:rFonts w:asciiTheme="majorBidi" w:hAnsiTheme="majorBidi" w:cstheme="majorBidi"/>
          <w:sz w:val="20"/>
          <w:szCs w:val="20"/>
        </w:rPr>
        <w:t xml:space="preserve"> P., Steadman R.</w:t>
      </w:r>
      <w:r w:rsidR="002B1DA9" w:rsidRPr="008E1DF4">
        <w:rPr>
          <w:rFonts w:asciiTheme="majorBidi" w:hAnsiTheme="majorBidi" w:cstheme="majorBidi"/>
          <w:sz w:val="20"/>
          <w:szCs w:val="20"/>
        </w:rPr>
        <w:t xml:space="preserve">, and Phillips A. (2010). </w:t>
      </w:r>
      <w:proofErr w:type="gramStart"/>
      <w:r w:rsidR="002B1DA9" w:rsidRPr="008E1DF4">
        <w:rPr>
          <w:rFonts w:asciiTheme="majorBidi" w:hAnsiTheme="majorBidi" w:cstheme="majorBidi"/>
          <w:sz w:val="20"/>
          <w:szCs w:val="20"/>
        </w:rPr>
        <w:t xml:space="preserve">Aging </w:t>
      </w:r>
      <w:r w:rsidR="00E8171E" w:rsidRPr="008E1DF4">
        <w:rPr>
          <w:rFonts w:asciiTheme="majorBidi" w:hAnsiTheme="majorBidi" w:cstheme="majorBidi"/>
          <w:sz w:val="20"/>
          <w:szCs w:val="20"/>
        </w:rPr>
        <w:t>Fibroblasts Resist</w:t>
      </w:r>
      <w:r w:rsidR="002B1DA9" w:rsidRPr="008E1DF4">
        <w:rPr>
          <w:rFonts w:asciiTheme="majorBidi" w:hAnsiTheme="majorBidi" w:cstheme="majorBidi"/>
          <w:sz w:val="20"/>
          <w:szCs w:val="20"/>
        </w:rPr>
        <w:t>Phenotypic Maturation Because of Impaired Hyaluronan-Dependent</w:t>
      </w:r>
      <w:r w:rsidR="00E8171E" w:rsidRPr="008E1DF4">
        <w:rPr>
          <w:rFonts w:asciiTheme="majorBidi" w:hAnsiTheme="majorBidi" w:cstheme="majorBidi"/>
          <w:sz w:val="20"/>
          <w:szCs w:val="20"/>
        </w:rPr>
        <w:t xml:space="preserve"> CD44/Epidermal Growth Factor </w:t>
      </w:r>
      <w:r w:rsidR="002B1DA9" w:rsidRPr="008E1DF4">
        <w:rPr>
          <w:rFonts w:asciiTheme="majorBidi" w:hAnsiTheme="majorBidi" w:cstheme="majorBidi"/>
          <w:sz w:val="20"/>
          <w:szCs w:val="20"/>
        </w:rPr>
        <w:t>Receptor Signaling.</w:t>
      </w:r>
      <w:proofErr w:type="gramEnd"/>
      <w:r w:rsidR="002B1DA9" w:rsidRPr="008E1DF4">
        <w:rPr>
          <w:rFonts w:asciiTheme="majorBidi" w:hAnsiTheme="majorBidi" w:cstheme="majorBidi"/>
          <w:sz w:val="20"/>
          <w:szCs w:val="20"/>
        </w:rPr>
        <w:t xml:space="preserve"> </w:t>
      </w:r>
      <w:proofErr w:type="gramStart"/>
      <w:r w:rsidR="002B1DA9" w:rsidRPr="008E1DF4">
        <w:rPr>
          <w:rFonts w:asciiTheme="majorBidi" w:hAnsiTheme="majorBidi" w:cstheme="majorBidi"/>
          <w:sz w:val="20"/>
          <w:szCs w:val="20"/>
        </w:rPr>
        <w:t>American Journal of Pathology.</w:t>
      </w:r>
      <w:proofErr w:type="gramEnd"/>
      <w:r w:rsidR="002B1DA9" w:rsidRPr="008E1DF4">
        <w:rPr>
          <w:rFonts w:asciiTheme="majorBidi" w:hAnsiTheme="majorBidi" w:cstheme="majorBidi"/>
          <w:sz w:val="20"/>
          <w:szCs w:val="20"/>
        </w:rPr>
        <w:t xml:space="preserve">  176:1215-1228.</w:t>
      </w:r>
      <w:r w:rsidR="006D4D22" w:rsidRPr="008E1DF4">
        <w:rPr>
          <w:rFonts w:asciiTheme="majorBidi" w:hAnsiTheme="majorBidi" w:cstheme="majorBidi"/>
          <w:sz w:val="20"/>
          <w:szCs w:val="20"/>
        </w:rPr>
        <w:tab/>
      </w:r>
    </w:p>
    <w:sectPr w:rsidR="006449F7" w:rsidRPr="008E1DF4" w:rsidSect="003F31CC">
      <w:headerReference w:type="even" r:id="rId31"/>
      <w:headerReference w:type="default" r:id="rId32"/>
      <w:footerReference w:type="even" r:id="rId33"/>
      <w:footerReference w:type="default" r:id="rId34"/>
      <w:headerReference w:type="first" r:id="rId35"/>
      <w:footerReference w:type="first" r:id="rId36"/>
      <w:pgSz w:w="11906" w:h="16838" w:code="9"/>
      <w:pgMar w:top="1440" w:right="1440" w:bottom="1440" w:left="1440" w:header="432" w:footer="432" w:gutter="0"/>
      <w:pgNumType w:start="2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D1B" w:rsidRDefault="00583D1B" w:rsidP="006D7E1C">
      <w:pPr>
        <w:spacing w:after="0" w:line="240" w:lineRule="auto"/>
      </w:pPr>
      <w:r>
        <w:separator/>
      </w:r>
    </w:p>
  </w:endnote>
  <w:endnote w:type="continuationSeparator" w:id="0">
    <w:p w:rsidR="00583D1B" w:rsidRDefault="00583D1B" w:rsidP="006D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1CC" w:rsidRDefault="003F31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803565"/>
      <w:docPartObj>
        <w:docPartGallery w:val="Page Numbers (Bottom of Page)"/>
        <w:docPartUnique/>
      </w:docPartObj>
    </w:sdtPr>
    <w:sdtEndPr/>
    <w:sdtContent>
      <w:p w:rsidR="007F7899" w:rsidRDefault="007F7899" w:rsidP="007F7899">
        <w:pPr>
          <w:pStyle w:val="Footer"/>
          <w:jc w:val="center"/>
        </w:pPr>
        <w:r>
          <w:fldChar w:fldCharType="begin"/>
        </w:r>
        <w:r>
          <w:instrText>PAGE   \* MERGEFORMAT</w:instrText>
        </w:r>
        <w:r>
          <w:fldChar w:fldCharType="separate"/>
        </w:r>
        <w:r w:rsidR="003F31CC" w:rsidRPr="003F31CC">
          <w:rPr>
            <w:rFonts w:cs="Calibri"/>
            <w:noProof/>
            <w:lang w:val="ar-SA"/>
          </w:rPr>
          <w:t>49</w:t>
        </w:r>
        <w:r>
          <w:fldChar w:fldCharType="end"/>
        </w:r>
      </w:p>
    </w:sdtContent>
  </w:sdt>
  <w:p w:rsidR="007F7899" w:rsidRDefault="007F789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704498"/>
      <w:docPartObj>
        <w:docPartGallery w:val="Page Numbers (Bottom of Page)"/>
        <w:docPartUnique/>
      </w:docPartObj>
    </w:sdtPr>
    <w:sdtEndPr/>
    <w:sdtContent>
      <w:p w:rsidR="007F7899" w:rsidRDefault="007F7899">
        <w:pPr>
          <w:pStyle w:val="Footer"/>
          <w:jc w:val="center"/>
        </w:pPr>
        <w:r>
          <w:fldChar w:fldCharType="begin"/>
        </w:r>
        <w:r>
          <w:instrText xml:space="preserve"> PAGE   \* MERGEFORMAT </w:instrText>
        </w:r>
        <w:r>
          <w:fldChar w:fldCharType="separate"/>
        </w:r>
        <w:r w:rsidR="003F31CC">
          <w:rPr>
            <w:noProof/>
          </w:rPr>
          <w:t>22</w:t>
        </w:r>
        <w:r>
          <w:rPr>
            <w:noProof/>
          </w:rPr>
          <w:fldChar w:fldCharType="end"/>
        </w:r>
      </w:p>
    </w:sdtContent>
  </w:sdt>
  <w:p w:rsidR="007F7899" w:rsidRDefault="007F78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D1B" w:rsidRDefault="00583D1B" w:rsidP="006D7E1C">
      <w:pPr>
        <w:spacing w:after="0" w:line="240" w:lineRule="auto"/>
      </w:pPr>
      <w:r>
        <w:separator/>
      </w:r>
    </w:p>
  </w:footnote>
  <w:footnote w:type="continuationSeparator" w:id="0">
    <w:p w:rsidR="00583D1B" w:rsidRDefault="00583D1B" w:rsidP="006D7E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1CC" w:rsidRDefault="003F31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899" w:rsidRPr="007F7899" w:rsidRDefault="007F7899" w:rsidP="003F31CC">
    <w:pPr>
      <w:tabs>
        <w:tab w:val="center" w:pos="4706"/>
        <w:tab w:val="right" w:pos="9356"/>
      </w:tabs>
      <w:spacing w:after="240" w:line="200" w:lineRule="atLeast"/>
      <w:jc w:val="center"/>
      <w:rPr>
        <w:lang w:val="en-US"/>
      </w:rPr>
    </w:pPr>
    <w:r w:rsidRPr="007F7899">
      <w:rPr>
        <w:rFonts w:ascii="Times New Roman" w:eastAsia="Times New Roman" w:hAnsi="Times New Roman" w:cs="Times New Roman"/>
        <w:i/>
        <w:noProof/>
        <w:sz w:val="16"/>
        <w:szCs w:val="16"/>
        <w:lang w:val="en-US"/>
      </w:rPr>
      <w:t>American Scientific Research Journal for Engineering, Technology, and Sciences (ASRJETS</w:t>
    </w:r>
    <w:r w:rsidRPr="007F7899">
      <w:rPr>
        <w:rFonts w:ascii="Times New Roman" w:eastAsia="Times New Roman" w:hAnsi="Times New Roman" w:cs="Times New Roman"/>
        <w:b/>
        <w:bCs/>
        <w:i/>
        <w:noProof/>
        <w:color w:val="111111"/>
        <w:sz w:val="16"/>
        <w:szCs w:val="16"/>
        <w:shd w:val="clear" w:color="auto" w:fill="FFFFFF"/>
        <w:lang w:val="en-US"/>
      </w:rPr>
      <w:t>)</w:t>
    </w:r>
    <w:r w:rsidRPr="007F7899">
      <w:rPr>
        <w:rFonts w:ascii="Times New Roman" w:eastAsia="Times New Roman" w:hAnsi="Times New Roman" w:cs="Times New Roman"/>
        <w:i/>
        <w:noProof/>
        <w:sz w:val="16"/>
        <w:szCs w:val="16"/>
        <w:lang w:val="en-US"/>
      </w:rPr>
      <w:t xml:space="preserve"> (</w:t>
    </w:r>
    <w:r w:rsidRPr="007F7899">
      <w:rPr>
        <w:rFonts w:ascii="Times New Roman" w:eastAsia="Times New Roman" w:hAnsi="Times New Roman" w:cs="Times New Roman"/>
        <w:i/>
        <w:noProof/>
        <w:sz w:val="16"/>
        <w:szCs w:val="16"/>
        <w:lang w:val="en-US"/>
      </w:rPr>
      <w:fldChar w:fldCharType="begin"/>
    </w:r>
    <w:r w:rsidRPr="007F7899">
      <w:rPr>
        <w:rFonts w:ascii="Times New Roman" w:eastAsia="Times New Roman" w:hAnsi="Times New Roman" w:cs="Times New Roman"/>
        <w:i/>
        <w:noProof/>
        <w:sz w:val="16"/>
        <w:szCs w:val="16"/>
        <w:lang w:val="en-US"/>
      </w:rPr>
      <w:instrText xml:space="preserve"> DATE \@ "yyyy" \* MERGEFORMAT </w:instrText>
    </w:r>
    <w:r w:rsidRPr="007F7899">
      <w:rPr>
        <w:rFonts w:ascii="Times New Roman" w:eastAsia="Times New Roman" w:hAnsi="Times New Roman" w:cs="Times New Roman"/>
        <w:i/>
        <w:noProof/>
        <w:sz w:val="16"/>
        <w:szCs w:val="16"/>
        <w:lang w:val="en-US"/>
      </w:rPr>
      <w:fldChar w:fldCharType="separate"/>
    </w:r>
    <w:r w:rsidR="003F31CC">
      <w:rPr>
        <w:rFonts w:ascii="Times New Roman" w:eastAsia="Times New Roman" w:hAnsi="Times New Roman" w:cs="Times New Roman"/>
        <w:i/>
        <w:noProof/>
        <w:sz w:val="16"/>
        <w:szCs w:val="16"/>
        <w:lang w:val="en-US"/>
      </w:rPr>
      <w:t>2018</w:t>
    </w:r>
    <w:r w:rsidRPr="007F7899">
      <w:rPr>
        <w:rFonts w:ascii="Times New Roman" w:eastAsia="Times New Roman" w:hAnsi="Times New Roman" w:cs="Times New Roman"/>
        <w:i/>
        <w:noProof/>
        <w:sz w:val="16"/>
        <w:szCs w:val="16"/>
        <w:lang w:val="en-US"/>
      </w:rPr>
      <w:fldChar w:fldCharType="end"/>
    </w:r>
    <w:r w:rsidRPr="007F7899">
      <w:rPr>
        <w:rFonts w:ascii="Times New Roman" w:eastAsia="Times New Roman" w:hAnsi="Times New Roman" w:cs="Times New Roman"/>
        <w:i/>
        <w:noProof/>
        <w:sz w:val="16"/>
        <w:szCs w:val="16"/>
        <w:lang w:val="en-US"/>
      </w:rPr>
      <w:t xml:space="preserve">) Volume </w:t>
    </w:r>
    <w:r w:rsidR="003F31CC">
      <w:rPr>
        <w:rFonts w:ascii="Times New Roman" w:eastAsia="Times New Roman" w:hAnsi="Times New Roman" w:cs="Times New Roman"/>
        <w:i/>
        <w:noProof/>
        <w:sz w:val="16"/>
        <w:szCs w:val="16"/>
        <w:lang w:val="en-US"/>
      </w:rPr>
      <w:t>50</w:t>
    </w:r>
    <w:r w:rsidR="00AB0A80">
      <w:rPr>
        <w:rFonts w:ascii="Times New Roman" w:eastAsia="Times New Roman" w:hAnsi="Times New Roman" w:cs="Times New Roman"/>
        <w:i/>
        <w:noProof/>
        <w:sz w:val="16"/>
        <w:szCs w:val="16"/>
        <w:lang w:val="en-US"/>
      </w:rPr>
      <w:t xml:space="preserve">, No  1, pp </w:t>
    </w:r>
    <w:r w:rsidR="003F31CC">
      <w:rPr>
        <w:rFonts w:ascii="Times New Roman" w:eastAsia="Times New Roman" w:hAnsi="Times New Roman" w:cs="Times New Roman"/>
        <w:i/>
        <w:noProof/>
        <w:sz w:val="16"/>
        <w:szCs w:val="16"/>
        <w:lang w:val="en-US"/>
      </w:rPr>
      <w:t>22</w:t>
    </w:r>
    <w:r w:rsidRPr="007F7899">
      <w:rPr>
        <w:rFonts w:ascii="Times New Roman" w:eastAsia="Times New Roman" w:hAnsi="Times New Roman" w:cs="Times New Roman"/>
        <w:i/>
        <w:noProof/>
        <w:sz w:val="16"/>
        <w:szCs w:val="16"/>
        <w:lang w:val="en-US"/>
      </w:rPr>
      <w:t>-</w:t>
    </w:r>
    <w:r w:rsidR="003F31CC">
      <w:rPr>
        <w:rFonts w:ascii="Times New Roman" w:eastAsia="Times New Roman" w:hAnsi="Times New Roman" w:cs="Times New Roman"/>
        <w:i/>
        <w:noProof/>
        <w:sz w:val="16"/>
        <w:szCs w:val="16"/>
        <w:lang w:val="en-US"/>
      </w:rPr>
      <w:t>49</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eastAsia="Times New Roman" w:hAnsi="Calibri" w:cs="Arial"/>
        <w:lang w:val="en-US"/>
      </w:rPr>
      <w:id w:val="9417896"/>
      <w:docPartObj>
        <w:docPartGallery w:val="Page Numbers (Top of Page)"/>
        <w:docPartUnique/>
      </w:docPartObj>
    </w:sdtPr>
    <w:sdtEndPr/>
    <w:sdtContent>
      <w:p w:rsidR="007F7899" w:rsidRPr="007F7899" w:rsidRDefault="007F7899" w:rsidP="007F7899">
        <w:pPr>
          <w:shd w:val="clear" w:color="auto" w:fill="FFFFFF"/>
          <w:spacing w:after="0" w:line="360" w:lineRule="auto"/>
          <w:jc w:val="center"/>
          <w:rPr>
            <w:rFonts w:ascii="Calibri" w:eastAsia="Times New Roman" w:hAnsi="Calibri" w:cs="Arial"/>
            <w:lang w:val="en-US"/>
          </w:rPr>
        </w:pPr>
      </w:p>
      <w:tbl>
        <w:tblPr>
          <w:tblpPr w:leftFromText="180" w:rightFromText="180" w:vertAnchor="text" w:horzAnchor="margin" w:tblpXSpec="center" w:tblpY="-359"/>
          <w:tblW w:w="5625" w:type="pct"/>
          <w:tblCellMar>
            <w:left w:w="0" w:type="dxa"/>
            <w:right w:w="0" w:type="dxa"/>
          </w:tblCellMar>
          <w:tblLook w:val="0000" w:firstRow="0" w:lastRow="0" w:firstColumn="0" w:lastColumn="0" w:noHBand="0" w:noVBand="0"/>
        </w:tblPr>
        <w:tblGrid>
          <w:gridCol w:w="10154"/>
        </w:tblGrid>
        <w:tr w:rsidR="007F7899" w:rsidRPr="007F7899" w:rsidTr="007F7899">
          <w:trPr>
            <w:trHeight w:val="945"/>
          </w:trPr>
          <w:tc>
            <w:tcPr>
              <w:tcW w:w="5000" w:type="pct"/>
              <w:shd w:val="clear" w:color="auto" w:fill="E1F0FF"/>
              <w:vAlign w:val="center"/>
            </w:tcPr>
            <w:p w:rsidR="007F7899" w:rsidRPr="007F7899" w:rsidRDefault="007F7899" w:rsidP="007F7899">
              <w:pPr>
                <w:spacing w:after="0" w:line="360" w:lineRule="auto"/>
                <w:jc w:val="center"/>
                <w:rPr>
                  <w:rFonts w:ascii="Arial" w:eastAsia="Times New Roman" w:hAnsi="Arial" w:cs="Arial"/>
                  <w:b/>
                  <w:bCs/>
                  <w:color w:val="0070C0"/>
                  <w:lang w:val="en-US"/>
                </w:rPr>
              </w:pPr>
              <w:r w:rsidRPr="007F7899">
                <w:rPr>
                  <w:rFonts w:ascii="Arial" w:eastAsia="Times New Roman" w:hAnsi="Arial" w:cs="Arial"/>
                  <w:color w:val="0070C0"/>
                  <w:lang w:val="en-US"/>
                </w:rPr>
                <w:t xml:space="preserve"> </w:t>
              </w:r>
              <w:r w:rsidRPr="007F7899">
                <w:rPr>
                  <w:rFonts w:ascii="Arial" w:eastAsia="Times New Roman" w:hAnsi="Arial" w:cs="Arial"/>
                  <w:b/>
                  <w:bCs/>
                  <w:color w:val="0070C0"/>
                  <w:lang w:val="en-US"/>
                </w:rPr>
                <w:t>American Scientific Research Journal for Engineering, Technology,  and Sciences  (ASRJETS)</w:t>
              </w:r>
            </w:p>
            <w:p w:rsidR="007F7899" w:rsidRPr="007F7899" w:rsidRDefault="007F7899" w:rsidP="007F7899">
              <w:pPr>
                <w:spacing w:after="0" w:line="360" w:lineRule="auto"/>
                <w:jc w:val="center"/>
                <w:rPr>
                  <w:rFonts w:ascii="Arial" w:eastAsia="Times New Roman" w:hAnsi="Arial" w:cs="Arial"/>
                  <w:color w:val="0070C0"/>
                  <w:sz w:val="18"/>
                  <w:szCs w:val="18"/>
                  <w:lang w:val="en-US"/>
                </w:rPr>
              </w:pPr>
              <w:r w:rsidRPr="007F7899">
                <w:rPr>
                  <w:rFonts w:ascii="Arial" w:eastAsia="Times New Roman" w:hAnsi="Arial" w:cs="Arial"/>
                  <w:color w:val="0070C0"/>
                  <w:sz w:val="18"/>
                  <w:szCs w:val="18"/>
                  <w:lang w:val="en-US"/>
                </w:rPr>
                <w:t>ISSN (Print) 2313-4410, ISSN (Online) 2313-4402</w:t>
              </w:r>
            </w:p>
            <w:p w:rsidR="007F7899" w:rsidRPr="007F7899" w:rsidRDefault="007F7899" w:rsidP="007F7899">
              <w:pPr>
                <w:tabs>
                  <w:tab w:val="center" w:pos="4706"/>
                  <w:tab w:val="right" w:pos="9356"/>
                </w:tabs>
                <w:spacing w:after="0" w:line="360" w:lineRule="auto"/>
                <w:jc w:val="center"/>
                <w:rPr>
                  <w:rFonts w:ascii="Arial" w:eastAsia="Times New Roman" w:hAnsi="Arial" w:cs="Arial"/>
                  <w:color w:val="0070C0"/>
                  <w:sz w:val="20"/>
                  <w:szCs w:val="20"/>
                  <w:lang w:val="en-US"/>
                </w:rPr>
              </w:pPr>
              <w:r w:rsidRPr="007F7899">
                <w:rPr>
                  <w:rFonts w:ascii="Arial" w:eastAsia="Times New Roman" w:hAnsi="Arial" w:cs="Arial"/>
                  <w:color w:val="0070C0"/>
                  <w:sz w:val="20"/>
                  <w:szCs w:val="20"/>
                  <w:lang w:val="en-US"/>
                </w:rPr>
                <w:t xml:space="preserve">© Global Society of Scientific Research and Researchers </w:t>
              </w:r>
            </w:p>
          </w:tc>
        </w:tr>
        <w:tr w:rsidR="007F7899" w:rsidRPr="007F7899" w:rsidTr="007F7899">
          <w:trPr>
            <w:trHeight w:val="210"/>
          </w:trPr>
          <w:tc>
            <w:tcPr>
              <w:tcW w:w="5000" w:type="pct"/>
              <w:shd w:val="clear" w:color="auto" w:fill="00B0F0"/>
              <w:vAlign w:val="center"/>
            </w:tcPr>
            <w:p w:rsidR="007F7899" w:rsidRPr="007F7899" w:rsidRDefault="00583D1B" w:rsidP="007F7899">
              <w:pPr>
                <w:tabs>
                  <w:tab w:val="left" w:pos="0"/>
                  <w:tab w:val="center" w:pos="5443"/>
                </w:tabs>
                <w:spacing w:after="0" w:line="360" w:lineRule="auto"/>
                <w:jc w:val="center"/>
                <w:rPr>
                  <w:rFonts w:ascii="Times New Roman" w:eastAsia="Times New Roman" w:hAnsi="Times New Roman" w:cs="Times New Roman"/>
                  <w:color w:val="FFFFFF"/>
                  <w:sz w:val="20"/>
                  <w:szCs w:val="20"/>
                </w:rPr>
              </w:pPr>
              <w:hyperlink r:id="rId1" w:history="1">
                <w:r w:rsidR="007F7899" w:rsidRPr="007F7899">
                  <w:rPr>
                    <w:rFonts w:ascii="Times New Roman" w:eastAsia="Times New Roman" w:hAnsi="Times New Roman" w:cs="Times New Roman"/>
                    <w:color w:val="FFFFFF"/>
                    <w:sz w:val="20"/>
                    <w:szCs w:val="20"/>
                  </w:rPr>
                  <w:t>http://asrjetsjournal.org/</w:t>
                </w:r>
              </w:hyperlink>
              <w:r w:rsidR="007F7899" w:rsidRPr="007F7899">
                <w:rPr>
                  <w:rFonts w:ascii="Times New Roman" w:eastAsia="Times New Roman" w:hAnsi="Times New Roman" w:cs="Times New Roman"/>
                  <w:color w:val="FFFFFF"/>
                  <w:sz w:val="20"/>
                  <w:szCs w:val="20"/>
                </w:rPr>
                <w:t xml:space="preserve"> </w:t>
              </w:r>
            </w:p>
            <w:p w:rsidR="007F7899" w:rsidRPr="007F7899" w:rsidRDefault="007F7899" w:rsidP="007F7899">
              <w:pPr>
                <w:tabs>
                  <w:tab w:val="left" w:pos="0"/>
                  <w:tab w:val="center" w:pos="5443"/>
                </w:tabs>
                <w:spacing w:after="0" w:line="360" w:lineRule="auto"/>
                <w:jc w:val="center"/>
                <w:rPr>
                  <w:rFonts w:ascii="Times New Roman" w:eastAsia="Times New Roman" w:hAnsi="Times New Roman" w:cs="Times New Roman"/>
                  <w:color w:val="002060"/>
                  <w:sz w:val="16"/>
                  <w:szCs w:val="20"/>
                </w:rPr>
              </w:pPr>
            </w:p>
          </w:tc>
        </w:tr>
      </w:tbl>
      <w:p w:rsidR="007F7899" w:rsidRPr="007F7899" w:rsidRDefault="007F7899" w:rsidP="007F7899">
        <w:pPr>
          <w:shd w:val="clear" w:color="auto" w:fill="FFFFFF"/>
          <w:spacing w:after="0" w:line="360" w:lineRule="auto"/>
          <w:jc w:val="center"/>
          <w:rPr>
            <w:rFonts w:ascii="Calibri" w:eastAsia="Times New Roman" w:hAnsi="Calibri" w:cs="Arial"/>
            <w:lang w:val="en-US"/>
          </w:rPr>
        </w:pPr>
      </w:p>
      <w:p w:rsidR="007F7899" w:rsidRPr="007F7899" w:rsidRDefault="007F7899" w:rsidP="007F7899">
        <w:pPr>
          <w:shd w:val="clear" w:color="auto" w:fill="FFFFFF"/>
          <w:spacing w:after="0" w:line="360" w:lineRule="auto"/>
          <w:jc w:val="center"/>
          <w:rPr>
            <w:rFonts w:ascii="Calibri" w:eastAsia="Times New Roman" w:hAnsi="Calibri" w:cs="Arial"/>
            <w:lang w:val="en-US"/>
          </w:rPr>
        </w:pPr>
      </w:p>
      <w:p w:rsidR="007F7899" w:rsidRPr="007F7899" w:rsidRDefault="00583D1B" w:rsidP="00AB0A80">
        <w:pPr>
          <w:spacing w:line="360" w:lineRule="auto"/>
          <w:jc w:val="center"/>
          <w:rPr>
            <w:rFonts w:ascii="Calibri" w:eastAsia="Times New Roman" w:hAnsi="Calibri" w:cs="Arial"/>
            <w:lang w:val="en-US"/>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34CBE"/>
    <w:multiLevelType w:val="multilevel"/>
    <w:tmpl w:val="BCDA66F6"/>
    <w:lvl w:ilvl="0">
      <w:start w:val="2"/>
      <w:numFmt w:val="decimal"/>
      <w:lvlText w:val="%1."/>
      <w:lvlJc w:val="left"/>
      <w:pPr>
        <w:ind w:left="405" w:hanging="405"/>
      </w:pPr>
      <w:rPr>
        <w:rFonts w:hint="default"/>
      </w:rPr>
    </w:lvl>
    <w:lvl w:ilvl="1">
      <w:start w:val="16"/>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26CC192D"/>
    <w:multiLevelType w:val="hybridMultilevel"/>
    <w:tmpl w:val="337C6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15B76D9"/>
    <w:multiLevelType w:val="hybridMultilevel"/>
    <w:tmpl w:val="15941224"/>
    <w:lvl w:ilvl="0" w:tplc="D180D7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63F3072"/>
    <w:multiLevelType w:val="hybridMultilevel"/>
    <w:tmpl w:val="C346D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D5A460C"/>
    <w:multiLevelType w:val="multilevel"/>
    <w:tmpl w:val="23A0321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E44"/>
    <w:rsid w:val="00001FDE"/>
    <w:rsid w:val="0000384D"/>
    <w:rsid w:val="00006AB7"/>
    <w:rsid w:val="00011EED"/>
    <w:rsid w:val="000153CC"/>
    <w:rsid w:val="00021301"/>
    <w:rsid w:val="00035FD6"/>
    <w:rsid w:val="0004202B"/>
    <w:rsid w:val="00042BD7"/>
    <w:rsid w:val="00045936"/>
    <w:rsid w:val="00046DD9"/>
    <w:rsid w:val="00050F8C"/>
    <w:rsid w:val="00055A6F"/>
    <w:rsid w:val="0007235C"/>
    <w:rsid w:val="00077F7C"/>
    <w:rsid w:val="000828CF"/>
    <w:rsid w:val="00084E9C"/>
    <w:rsid w:val="000852B1"/>
    <w:rsid w:val="000869C2"/>
    <w:rsid w:val="00090437"/>
    <w:rsid w:val="000924C5"/>
    <w:rsid w:val="00094769"/>
    <w:rsid w:val="00095D1E"/>
    <w:rsid w:val="00095FD7"/>
    <w:rsid w:val="000A220B"/>
    <w:rsid w:val="000C05E6"/>
    <w:rsid w:val="000C3412"/>
    <w:rsid w:val="000C4A19"/>
    <w:rsid w:val="000D05E4"/>
    <w:rsid w:val="000D2D2A"/>
    <w:rsid w:val="000D40EA"/>
    <w:rsid w:val="000D61ED"/>
    <w:rsid w:val="000E2969"/>
    <w:rsid w:val="000F5941"/>
    <w:rsid w:val="00103C1D"/>
    <w:rsid w:val="001141AC"/>
    <w:rsid w:val="00117694"/>
    <w:rsid w:val="001300FD"/>
    <w:rsid w:val="001326FA"/>
    <w:rsid w:val="001365ED"/>
    <w:rsid w:val="00144C2D"/>
    <w:rsid w:val="00150846"/>
    <w:rsid w:val="001569A1"/>
    <w:rsid w:val="0016047B"/>
    <w:rsid w:val="00161277"/>
    <w:rsid w:val="00166300"/>
    <w:rsid w:val="00167253"/>
    <w:rsid w:val="00182894"/>
    <w:rsid w:val="00185EA8"/>
    <w:rsid w:val="00193B0D"/>
    <w:rsid w:val="00194A27"/>
    <w:rsid w:val="001958ED"/>
    <w:rsid w:val="00197381"/>
    <w:rsid w:val="001A3C63"/>
    <w:rsid w:val="001C0E32"/>
    <w:rsid w:val="001C54D1"/>
    <w:rsid w:val="001D0652"/>
    <w:rsid w:val="001D2012"/>
    <w:rsid w:val="001D2A18"/>
    <w:rsid w:val="001D4A75"/>
    <w:rsid w:val="001E24D4"/>
    <w:rsid w:val="001E3C57"/>
    <w:rsid w:val="00200366"/>
    <w:rsid w:val="00204C08"/>
    <w:rsid w:val="002060B3"/>
    <w:rsid w:val="00212298"/>
    <w:rsid w:val="00214456"/>
    <w:rsid w:val="00215441"/>
    <w:rsid w:val="00216B3F"/>
    <w:rsid w:val="002233A1"/>
    <w:rsid w:val="00223823"/>
    <w:rsid w:val="00227750"/>
    <w:rsid w:val="00230A8D"/>
    <w:rsid w:val="00236108"/>
    <w:rsid w:val="0024227E"/>
    <w:rsid w:val="00246846"/>
    <w:rsid w:val="002542FD"/>
    <w:rsid w:val="0025799E"/>
    <w:rsid w:val="002613EC"/>
    <w:rsid w:val="002627DD"/>
    <w:rsid w:val="00294A2E"/>
    <w:rsid w:val="00297ABB"/>
    <w:rsid w:val="002A2E01"/>
    <w:rsid w:val="002A4703"/>
    <w:rsid w:val="002B06F0"/>
    <w:rsid w:val="002B0D7A"/>
    <w:rsid w:val="002B1DA9"/>
    <w:rsid w:val="002B4544"/>
    <w:rsid w:val="002B6AE1"/>
    <w:rsid w:val="002D0FB9"/>
    <w:rsid w:val="002D3BAB"/>
    <w:rsid w:val="002D7BF4"/>
    <w:rsid w:val="002E2F57"/>
    <w:rsid w:val="002F6624"/>
    <w:rsid w:val="00305766"/>
    <w:rsid w:val="0031151B"/>
    <w:rsid w:val="00311F2F"/>
    <w:rsid w:val="00314DF0"/>
    <w:rsid w:val="003172CE"/>
    <w:rsid w:val="00320508"/>
    <w:rsid w:val="0032686B"/>
    <w:rsid w:val="00330D2E"/>
    <w:rsid w:val="00333CAF"/>
    <w:rsid w:val="00340AC0"/>
    <w:rsid w:val="00352213"/>
    <w:rsid w:val="00353A77"/>
    <w:rsid w:val="003551BF"/>
    <w:rsid w:val="003639C9"/>
    <w:rsid w:val="003705CB"/>
    <w:rsid w:val="00370D03"/>
    <w:rsid w:val="00374FEA"/>
    <w:rsid w:val="00375B28"/>
    <w:rsid w:val="00385F10"/>
    <w:rsid w:val="003A5B4E"/>
    <w:rsid w:val="003A6A69"/>
    <w:rsid w:val="003A7BF2"/>
    <w:rsid w:val="003B031D"/>
    <w:rsid w:val="003B15A4"/>
    <w:rsid w:val="003B1A30"/>
    <w:rsid w:val="003B6367"/>
    <w:rsid w:val="003B79FC"/>
    <w:rsid w:val="003C3E75"/>
    <w:rsid w:val="003C53A1"/>
    <w:rsid w:val="003D0AE4"/>
    <w:rsid w:val="003D2119"/>
    <w:rsid w:val="003D6801"/>
    <w:rsid w:val="003D71B1"/>
    <w:rsid w:val="003E1EE1"/>
    <w:rsid w:val="003E20CD"/>
    <w:rsid w:val="003F31CC"/>
    <w:rsid w:val="00401A63"/>
    <w:rsid w:val="00402D33"/>
    <w:rsid w:val="00404813"/>
    <w:rsid w:val="00411628"/>
    <w:rsid w:val="00415726"/>
    <w:rsid w:val="00437257"/>
    <w:rsid w:val="00437CEC"/>
    <w:rsid w:val="00444455"/>
    <w:rsid w:val="00446535"/>
    <w:rsid w:val="004517A1"/>
    <w:rsid w:val="0046472B"/>
    <w:rsid w:val="00466B98"/>
    <w:rsid w:val="00467BA1"/>
    <w:rsid w:val="0047510C"/>
    <w:rsid w:val="00492B5D"/>
    <w:rsid w:val="0049471D"/>
    <w:rsid w:val="004A0237"/>
    <w:rsid w:val="004A3643"/>
    <w:rsid w:val="004A36CC"/>
    <w:rsid w:val="004A49AB"/>
    <w:rsid w:val="004B644E"/>
    <w:rsid w:val="004C43D2"/>
    <w:rsid w:val="004C5408"/>
    <w:rsid w:val="004C6D1C"/>
    <w:rsid w:val="004C72AF"/>
    <w:rsid w:val="004C7F60"/>
    <w:rsid w:val="004D000C"/>
    <w:rsid w:val="004D7589"/>
    <w:rsid w:val="004E086D"/>
    <w:rsid w:val="004E1D5F"/>
    <w:rsid w:val="004E7B8D"/>
    <w:rsid w:val="004F3BB4"/>
    <w:rsid w:val="004F7267"/>
    <w:rsid w:val="00502025"/>
    <w:rsid w:val="00512AE3"/>
    <w:rsid w:val="00513E9E"/>
    <w:rsid w:val="00513FAF"/>
    <w:rsid w:val="00515C58"/>
    <w:rsid w:val="0052612A"/>
    <w:rsid w:val="0054194D"/>
    <w:rsid w:val="0054570E"/>
    <w:rsid w:val="00554374"/>
    <w:rsid w:val="00556BBD"/>
    <w:rsid w:val="005634EB"/>
    <w:rsid w:val="00567AE7"/>
    <w:rsid w:val="005811C7"/>
    <w:rsid w:val="00583D1B"/>
    <w:rsid w:val="00586714"/>
    <w:rsid w:val="005A59D0"/>
    <w:rsid w:val="005B31A2"/>
    <w:rsid w:val="005B69DF"/>
    <w:rsid w:val="005C36A0"/>
    <w:rsid w:val="005D250A"/>
    <w:rsid w:val="005D26A4"/>
    <w:rsid w:val="005D26CC"/>
    <w:rsid w:val="005D2F77"/>
    <w:rsid w:val="005E10E8"/>
    <w:rsid w:val="005E1613"/>
    <w:rsid w:val="005E178C"/>
    <w:rsid w:val="005E69DB"/>
    <w:rsid w:val="005E7EFC"/>
    <w:rsid w:val="00604FBB"/>
    <w:rsid w:val="00607367"/>
    <w:rsid w:val="00607E44"/>
    <w:rsid w:val="0062511A"/>
    <w:rsid w:val="00627C81"/>
    <w:rsid w:val="00631773"/>
    <w:rsid w:val="00631D5C"/>
    <w:rsid w:val="00640160"/>
    <w:rsid w:val="006449F7"/>
    <w:rsid w:val="00654A0A"/>
    <w:rsid w:val="00661294"/>
    <w:rsid w:val="00666C59"/>
    <w:rsid w:val="00671028"/>
    <w:rsid w:val="00671B04"/>
    <w:rsid w:val="00687442"/>
    <w:rsid w:val="006902F6"/>
    <w:rsid w:val="006A22BD"/>
    <w:rsid w:val="006A2898"/>
    <w:rsid w:val="006A6993"/>
    <w:rsid w:val="006C2C54"/>
    <w:rsid w:val="006C30AE"/>
    <w:rsid w:val="006C52FC"/>
    <w:rsid w:val="006D05F0"/>
    <w:rsid w:val="006D4D22"/>
    <w:rsid w:val="006D702D"/>
    <w:rsid w:val="006D722A"/>
    <w:rsid w:val="006D7E1C"/>
    <w:rsid w:val="006E2629"/>
    <w:rsid w:val="006E3BB4"/>
    <w:rsid w:val="006E5744"/>
    <w:rsid w:val="006F2F64"/>
    <w:rsid w:val="00701ECC"/>
    <w:rsid w:val="00706DD1"/>
    <w:rsid w:val="00713D75"/>
    <w:rsid w:val="0072042D"/>
    <w:rsid w:val="00730836"/>
    <w:rsid w:val="00731B40"/>
    <w:rsid w:val="0073204D"/>
    <w:rsid w:val="00735070"/>
    <w:rsid w:val="007355EF"/>
    <w:rsid w:val="007401A2"/>
    <w:rsid w:val="00740BA6"/>
    <w:rsid w:val="00741DD6"/>
    <w:rsid w:val="00744927"/>
    <w:rsid w:val="0075359E"/>
    <w:rsid w:val="00756E6A"/>
    <w:rsid w:val="00757EA3"/>
    <w:rsid w:val="00761939"/>
    <w:rsid w:val="00764FED"/>
    <w:rsid w:val="00771B18"/>
    <w:rsid w:val="007857CB"/>
    <w:rsid w:val="007861F2"/>
    <w:rsid w:val="0079279A"/>
    <w:rsid w:val="007A1E93"/>
    <w:rsid w:val="007A5C46"/>
    <w:rsid w:val="007B3D41"/>
    <w:rsid w:val="007C02FC"/>
    <w:rsid w:val="007C0B34"/>
    <w:rsid w:val="007C1BC8"/>
    <w:rsid w:val="007C5469"/>
    <w:rsid w:val="007C6EAD"/>
    <w:rsid w:val="007D21B4"/>
    <w:rsid w:val="007E0356"/>
    <w:rsid w:val="007E15F0"/>
    <w:rsid w:val="007E72E5"/>
    <w:rsid w:val="007F7899"/>
    <w:rsid w:val="008034E5"/>
    <w:rsid w:val="0080613D"/>
    <w:rsid w:val="00814F34"/>
    <w:rsid w:val="00817C11"/>
    <w:rsid w:val="00825D20"/>
    <w:rsid w:val="0082736F"/>
    <w:rsid w:val="0084131D"/>
    <w:rsid w:val="00855BD8"/>
    <w:rsid w:val="0086345C"/>
    <w:rsid w:val="00870542"/>
    <w:rsid w:val="00870E43"/>
    <w:rsid w:val="00871E3E"/>
    <w:rsid w:val="008770F8"/>
    <w:rsid w:val="00883B81"/>
    <w:rsid w:val="00890D2F"/>
    <w:rsid w:val="00895464"/>
    <w:rsid w:val="008959EB"/>
    <w:rsid w:val="008975CC"/>
    <w:rsid w:val="008A310C"/>
    <w:rsid w:val="008A532D"/>
    <w:rsid w:val="008A6190"/>
    <w:rsid w:val="008B2D4C"/>
    <w:rsid w:val="008C2934"/>
    <w:rsid w:val="008D4F9F"/>
    <w:rsid w:val="008D5B7A"/>
    <w:rsid w:val="008E17AB"/>
    <w:rsid w:val="008E1DF4"/>
    <w:rsid w:val="008E298A"/>
    <w:rsid w:val="008F1B5E"/>
    <w:rsid w:val="008F30D4"/>
    <w:rsid w:val="008F56BD"/>
    <w:rsid w:val="008F5832"/>
    <w:rsid w:val="008F7215"/>
    <w:rsid w:val="009018F4"/>
    <w:rsid w:val="00904F37"/>
    <w:rsid w:val="00911496"/>
    <w:rsid w:val="009128D7"/>
    <w:rsid w:val="009141DB"/>
    <w:rsid w:val="009160FC"/>
    <w:rsid w:val="0092458F"/>
    <w:rsid w:val="00925FAF"/>
    <w:rsid w:val="009328E4"/>
    <w:rsid w:val="00942AEB"/>
    <w:rsid w:val="009441D3"/>
    <w:rsid w:val="009468C7"/>
    <w:rsid w:val="00946BB6"/>
    <w:rsid w:val="00950347"/>
    <w:rsid w:val="00955530"/>
    <w:rsid w:val="00956155"/>
    <w:rsid w:val="009579FB"/>
    <w:rsid w:val="0096680A"/>
    <w:rsid w:val="0097276C"/>
    <w:rsid w:val="0098642B"/>
    <w:rsid w:val="009901A2"/>
    <w:rsid w:val="00990455"/>
    <w:rsid w:val="00990A16"/>
    <w:rsid w:val="00994E25"/>
    <w:rsid w:val="009A0D15"/>
    <w:rsid w:val="009A7757"/>
    <w:rsid w:val="009D1247"/>
    <w:rsid w:val="009D66CF"/>
    <w:rsid w:val="009D79DC"/>
    <w:rsid w:val="009E21F5"/>
    <w:rsid w:val="009E6FBC"/>
    <w:rsid w:val="009E758D"/>
    <w:rsid w:val="009E7B37"/>
    <w:rsid w:val="009F3BA5"/>
    <w:rsid w:val="00A002D1"/>
    <w:rsid w:val="00A0128C"/>
    <w:rsid w:val="00A05300"/>
    <w:rsid w:val="00A10A41"/>
    <w:rsid w:val="00A13836"/>
    <w:rsid w:val="00A247E6"/>
    <w:rsid w:val="00A25985"/>
    <w:rsid w:val="00A37DA7"/>
    <w:rsid w:val="00A407CD"/>
    <w:rsid w:val="00A43C81"/>
    <w:rsid w:val="00A4683B"/>
    <w:rsid w:val="00A54FD0"/>
    <w:rsid w:val="00A61D9D"/>
    <w:rsid w:val="00A66A13"/>
    <w:rsid w:val="00A66BA4"/>
    <w:rsid w:val="00A66D61"/>
    <w:rsid w:val="00A70E28"/>
    <w:rsid w:val="00A943E7"/>
    <w:rsid w:val="00AA1042"/>
    <w:rsid w:val="00AA22A7"/>
    <w:rsid w:val="00AA324A"/>
    <w:rsid w:val="00AB0A80"/>
    <w:rsid w:val="00AB2290"/>
    <w:rsid w:val="00AB76BF"/>
    <w:rsid w:val="00AC1D01"/>
    <w:rsid w:val="00AC2448"/>
    <w:rsid w:val="00AC339D"/>
    <w:rsid w:val="00AC53D5"/>
    <w:rsid w:val="00AD3E5E"/>
    <w:rsid w:val="00AD5C92"/>
    <w:rsid w:val="00AD65AB"/>
    <w:rsid w:val="00AE028B"/>
    <w:rsid w:val="00AE3EBC"/>
    <w:rsid w:val="00AF08D2"/>
    <w:rsid w:val="00AF20E3"/>
    <w:rsid w:val="00AF5CA2"/>
    <w:rsid w:val="00B10761"/>
    <w:rsid w:val="00B20679"/>
    <w:rsid w:val="00B2116F"/>
    <w:rsid w:val="00B22DC5"/>
    <w:rsid w:val="00B25D42"/>
    <w:rsid w:val="00B273B7"/>
    <w:rsid w:val="00B43474"/>
    <w:rsid w:val="00B46A7A"/>
    <w:rsid w:val="00B46E5C"/>
    <w:rsid w:val="00B5090F"/>
    <w:rsid w:val="00B54A39"/>
    <w:rsid w:val="00B60D43"/>
    <w:rsid w:val="00B63E03"/>
    <w:rsid w:val="00B71DA6"/>
    <w:rsid w:val="00B74FFA"/>
    <w:rsid w:val="00B751E3"/>
    <w:rsid w:val="00B8440C"/>
    <w:rsid w:val="00B84F7E"/>
    <w:rsid w:val="00B850EE"/>
    <w:rsid w:val="00B96310"/>
    <w:rsid w:val="00BA19AD"/>
    <w:rsid w:val="00BA67DE"/>
    <w:rsid w:val="00BB2D17"/>
    <w:rsid w:val="00BB5EDC"/>
    <w:rsid w:val="00BD2C48"/>
    <w:rsid w:val="00BD41DA"/>
    <w:rsid w:val="00BE413E"/>
    <w:rsid w:val="00BE453E"/>
    <w:rsid w:val="00BE7209"/>
    <w:rsid w:val="00C00290"/>
    <w:rsid w:val="00C0348E"/>
    <w:rsid w:val="00C13418"/>
    <w:rsid w:val="00C17D65"/>
    <w:rsid w:val="00C20B3B"/>
    <w:rsid w:val="00C21D1B"/>
    <w:rsid w:val="00C23D44"/>
    <w:rsid w:val="00C256AE"/>
    <w:rsid w:val="00C264F9"/>
    <w:rsid w:val="00C304BA"/>
    <w:rsid w:val="00C30D5E"/>
    <w:rsid w:val="00C35B36"/>
    <w:rsid w:val="00C41AF6"/>
    <w:rsid w:val="00C4315A"/>
    <w:rsid w:val="00C450AF"/>
    <w:rsid w:val="00C45DE0"/>
    <w:rsid w:val="00C47D95"/>
    <w:rsid w:val="00C53682"/>
    <w:rsid w:val="00C53A52"/>
    <w:rsid w:val="00C7545E"/>
    <w:rsid w:val="00C86F89"/>
    <w:rsid w:val="00C91E94"/>
    <w:rsid w:val="00C92EE4"/>
    <w:rsid w:val="00C94507"/>
    <w:rsid w:val="00C9682E"/>
    <w:rsid w:val="00CB41FB"/>
    <w:rsid w:val="00CB64D3"/>
    <w:rsid w:val="00CC69DF"/>
    <w:rsid w:val="00CC7CDB"/>
    <w:rsid w:val="00CD059A"/>
    <w:rsid w:val="00CD592C"/>
    <w:rsid w:val="00CE1C76"/>
    <w:rsid w:val="00CF2405"/>
    <w:rsid w:val="00CF7EAD"/>
    <w:rsid w:val="00D02043"/>
    <w:rsid w:val="00D02813"/>
    <w:rsid w:val="00D053A3"/>
    <w:rsid w:val="00D06B04"/>
    <w:rsid w:val="00D13556"/>
    <w:rsid w:val="00D163DD"/>
    <w:rsid w:val="00D170AC"/>
    <w:rsid w:val="00D26057"/>
    <w:rsid w:val="00D32E42"/>
    <w:rsid w:val="00D33896"/>
    <w:rsid w:val="00D56665"/>
    <w:rsid w:val="00D57ADE"/>
    <w:rsid w:val="00D71576"/>
    <w:rsid w:val="00D72925"/>
    <w:rsid w:val="00D74E08"/>
    <w:rsid w:val="00D80C91"/>
    <w:rsid w:val="00D85683"/>
    <w:rsid w:val="00D877CF"/>
    <w:rsid w:val="00D91BE8"/>
    <w:rsid w:val="00D9352F"/>
    <w:rsid w:val="00DA6A26"/>
    <w:rsid w:val="00DB0BB0"/>
    <w:rsid w:val="00DB3B4E"/>
    <w:rsid w:val="00DC3F71"/>
    <w:rsid w:val="00DD0818"/>
    <w:rsid w:val="00DE1A2F"/>
    <w:rsid w:val="00DE25E2"/>
    <w:rsid w:val="00DE7411"/>
    <w:rsid w:val="00DF2361"/>
    <w:rsid w:val="00DF279F"/>
    <w:rsid w:val="00DF2B68"/>
    <w:rsid w:val="00DF32C3"/>
    <w:rsid w:val="00E158FA"/>
    <w:rsid w:val="00E22C23"/>
    <w:rsid w:val="00E30500"/>
    <w:rsid w:val="00E30AE2"/>
    <w:rsid w:val="00E31FBE"/>
    <w:rsid w:val="00E34B2E"/>
    <w:rsid w:val="00E34CF4"/>
    <w:rsid w:val="00E375FE"/>
    <w:rsid w:val="00E3764D"/>
    <w:rsid w:val="00E43A25"/>
    <w:rsid w:val="00E46B39"/>
    <w:rsid w:val="00E53649"/>
    <w:rsid w:val="00E55F0D"/>
    <w:rsid w:val="00E648B2"/>
    <w:rsid w:val="00E666AB"/>
    <w:rsid w:val="00E66D0E"/>
    <w:rsid w:val="00E7226A"/>
    <w:rsid w:val="00E74F17"/>
    <w:rsid w:val="00E77B66"/>
    <w:rsid w:val="00E810F4"/>
    <w:rsid w:val="00E8171E"/>
    <w:rsid w:val="00E82C4A"/>
    <w:rsid w:val="00E93B7C"/>
    <w:rsid w:val="00EA1278"/>
    <w:rsid w:val="00EA6C4D"/>
    <w:rsid w:val="00EB468F"/>
    <w:rsid w:val="00EB6105"/>
    <w:rsid w:val="00EC2B81"/>
    <w:rsid w:val="00EC43DB"/>
    <w:rsid w:val="00ED032E"/>
    <w:rsid w:val="00ED4B7B"/>
    <w:rsid w:val="00EE5362"/>
    <w:rsid w:val="00EE6EEA"/>
    <w:rsid w:val="00EE7FEC"/>
    <w:rsid w:val="00EF0688"/>
    <w:rsid w:val="00EF09C6"/>
    <w:rsid w:val="00EF58F8"/>
    <w:rsid w:val="00F01826"/>
    <w:rsid w:val="00F068EC"/>
    <w:rsid w:val="00F10FE8"/>
    <w:rsid w:val="00F270EE"/>
    <w:rsid w:val="00F33405"/>
    <w:rsid w:val="00F445AB"/>
    <w:rsid w:val="00F62F15"/>
    <w:rsid w:val="00F63ED2"/>
    <w:rsid w:val="00F67F3D"/>
    <w:rsid w:val="00F82A27"/>
    <w:rsid w:val="00F831B5"/>
    <w:rsid w:val="00F83978"/>
    <w:rsid w:val="00F855D5"/>
    <w:rsid w:val="00F92860"/>
    <w:rsid w:val="00FA56EF"/>
    <w:rsid w:val="00FB0221"/>
    <w:rsid w:val="00FB5ED9"/>
    <w:rsid w:val="00FC0853"/>
    <w:rsid w:val="00FC0987"/>
    <w:rsid w:val="00FE08C6"/>
    <w:rsid w:val="00FE3AF5"/>
    <w:rsid w:val="00FE5AD8"/>
    <w:rsid w:val="00FF25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E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E1C"/>
  </w:style>
  <w:style w:type="paragraph" w:styleId="Footer">
    <w:name w:val="footer"/>
    <w:basedOn w:val="Normal"/>
    <w:link w:val="FooterChar"/>
    <w:uiPriority w:val="99"/>
    <w:unhideWhenUsed/>
    <w:rsid w:val="006D7E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E1C"/>
  </w:style>
  <w:style w:type="paragraph" w:styleId="BalloonText">
    <w:name w:val="Balloon Text"/>
    <w:basedOn w:val="Normal"/>
    <w:link w:val="BalloonTextChar"/>
    <w:uiPriority w:val="99"/>
    <w:semiHidden/>
    <w:unhideWhenUsed/>
    <w:rsid w:val="00D32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E42"/>
    <w:rPr>
      <w:rFonts w:ascii="Tahoma" w:hAnsi="Tahoma" w:cs="Tahoma"/>
      <w:sz w:val="16"/>
      <w:szCs w:val="16"/>
    </w:rPr>
  </w:style>
  <w:style w:type="paragraph" w:styleId="ListParagraph">
    <w:name w:val="List Paragraph"/>
    <w:basedOn w:val="Normal"/>
    <w:uiPriority w:val="34"/>
    <w:qFormat/>
    <w:rsid w:val="003D0AE4"/>
    <w:pPr>
      <w:ind w:left="720"/>
      <w:contextualSpacing/>
    </w:pPr>
  </w:style>
  <w:style w:type="character" w:styleId="Hyperlink">
    <w:name w:val="Hyperlink"/>
    <w:basedOn w:val="DefaultParagraphFont"/>
    <w:uiPriority w:val="99"/>
    <w:unhideWhenUsed/>
    <w:rsid w:val="00A25985"/>
    <w:rPr>
      <w:color w:val="0000FF" w:themeColor="hyperlink"/>
      <w:u w:val="single"/>
    </w:rPr>
  </w:style>
  <w:style w:type="paragraph" w:styleId="NormalWeb">
    <w:name w:val="Normal (Web)"/>
    <w:basedOn w:val="Normal"/>
    <w:uiPriority w:val="99"/>
    <w:semiHidden/>
    <w:unhideWhenUsed/>
    <w:rsid w:val="006449F7"/>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Els-body-text">
    <w:name w:val="Els-body-text"/>
    <w:rsid w:val="007F7899"/>
    <w:pPr>
      <w:keepNext/>
      <w:spacing w:after="0" w:line="240" w:lineRule="exact"/>
      <w:ind w:firstLine="238"/>
      <w:jc w:val="both"/>
    </w:pPr>
    <w:rPr>
      <w:rFonts w:ascii="Times New Roman" w:eastAsia="Times New Roman" w:hAnsi="Times New Roman" w:cs="Times New Roman"/>
      <w:sz w:val="20"/>
      <w:szCs w:val="20"/>
      <w:lang w:val="en-US"/>
    </w:rPr>
  </w:style>
  <w:style w:type="paragraph" w:customStyle="1" w:styleId="Els-footnote">
    <w:name w:val="Els-footnote"/>
    <w:rsid w:val="007F7899"/>
    <w:pPr>
      <w:keepLines/>
      <w:widowControl w:val="0"/>
      <w:spacing w:after="0" w:line="200" w:lineRule="exact"/>
      <w:ind w:firstLine="240"/>
      <w:jc w:val="both"/>
    </w:pPr>
    <w:rPr>
      <w:rFonts w:ascii="Times New Roman" w:eastAsia="Times New Roman" w:hAnsi="Times New Roman" w:cs="Times New Roman"/>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E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E1C"/>
  </w:style>
  <w:style w:type="paragraph" w:styleId="Footer">
    <w:name w:val="footer"/>
    <w:basedOn w:val="Normal"/>
    <w:link w:val="FooterChar"/>
    <w:uiPriority w:val="99"/>
    <w:unhideWhenUsed/>
    <w:rsid w:val="006D7E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E1C"/>
  </w:style>
  <w:style w:type="paragraph" w:styleId="BalloonText">
    <w:name w:val="Balloon Text"/>
    <w:basedOn w:val="Normal"/>
    <w:link w:val="BalloonTextChar"/>
    <w:uiPriority w:val="99"/>
    <w:semiHidden/>
    <w:unhideWhenUsed/>
    <w:rsid w:val="00D32E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E42"/>
    <w:rPr>
      <w:rFonts w:ascii="Tahoma" w:hAnsi="Tahoma" w:cs="Tahoma"/>
      <w:sz w:val="16"/>
      <w:szCs w:val="16"/>
    </w:rPr>
  </w:style>
  <w:style w:type="paragraph" w:styleId="ListParagraph">
    <w:name w:val="List Paragraph"/>
    <w:basedOn w:val="Normal"/>
    <w:uiPriority w:val="34"/>
    <w:qFormat/>
    <w:rsid w:val="003D0AE4"/>
    <w:pPr>
      <w:ind w:left="720"/>
      <w:contextualSpacing/>
    </w:pPr>
  </w:style>
  <w:style w:type="character" w:styleId="Hyperlink">
    <w:name w:val="Hyperlink"/>
    <w:basedOn w:val="DefaultParagraphFont"/>
    <w:uiPriority w:val="99"/>
    <w:unhideWhenUsed/>
    <w:rsid w:val="00A25985"/>
    <w:rPr>
      <w:color w:val="0000FF" w:themeColor="hyperlink"/>
      <w:u w:val="single"/>
    </w:rPr>
  </w:style>
  <w:style w:type="paragraph" w:styleId="NormalWeb">
    <w:name w:val="Normal (Web)"/>
    <w:basedOn w:val="Normal"/>
    <w:uiPriority w:val="99"/>
    <w:semiHidden/>
    <w:unhideWhenUsed/>
    <w:rsid w:val="006449F7"/>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Els-body-text">
    <w:name w:val="Els-body-text"/>
    <w:rsid w:val="007F7899"/>
    <w:pPr>
      <w:keepNext/>
      <w:spacing w:after="0" w:line="240" w:lineRule="exact"/>
      <w:ind w:firstLine="238"/>
      <w:jc w:val="both"/>
    </w:pPr>
    <w:rPr>
      <w:rFonts w:ascii="Times New Roman" w:eastAsia="Times New Roman" w:hAnsi="Times New Roman" w:cs="Times New Roman"/>
      <w:sz w:val="20"/>
      <w:szCs w:val="20"/>
      <w:lang w:val="en-US"/>
    </w:rPr>
  </w:style>
  <w:style w:type="paragraph" w:customStyle="1" w:styleId="Els-footnote">
    <w:name w:val="Els-footnote"/>
    <w:rsid w:val="007F7899"/>
    <w:pPr>
      <w:keepLines/>
      <w:widowControl w:val="0"/>
      <w:spacing w:after="0" w:line="200" w:lineRule="exact"/>
      <w:ind w:firstLine="240"/>
      <w:jc w:val="both"/>
    </w:pPr>
    <w:rPr>
      <w:rFonts w:ascii="Times New Roman" w:eastAsia="Times New Roman" w:hAnsi="Times New Roman" w:cs="Times New Roman"/>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image" Target="media/image7.jpe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package" Target="embeddings/Microsoft_PowerPoint_Slide1.sldx"/><Relationship Id="rId17" Type="http://schemas.openxmlformats.org/officeDocument/2006/relationships/chart" Target="charts/chart1.xml"/><Relationship Id="rId25" Type="http://schemas.openxmlformats.org/officeDocument/2006/relationships/image" Target="media/image13.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2.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asrjetsjournal.org/"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2.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embeddings/oleObject3.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J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8254495965782056"/>
          <c:y val="3.0922699178731691E-2"/>
          <c:w val="0.68975971551943116"/>
          <c:h val="0.67168785719966817"/>
        </c:manualLayout>
      </c:layout>
      <c:barChart>
        <c:barDir val="col"/>
        <c:grouping val="clustered"/>
        <c:varyColors val="0"/>
        <c:ser>
          <c:idx val="0"/>
          <c:order val="0"/>
          <c:invertIfNegative val="0"/>
          <c:dPt>
            <c:idx val="1"/>
            <c:invertIfNegative val="0"/>
            <c:bubble3D val="0"/>
            <c:spPr>
              <a:solidFill>
                <a:srgbClr val="FF0000"/>
              </a:solidFill>
            </c:spPr>
          </c:dPt>
          <c:dPt>
            <c:idx val="2"/>
            <c:invertIfNegative val="0"/>
            <c:bubble3D val="0"/>
            <c:spPr>
              <a:solidFill>
                <a:srgbClr val="FF0000"/>
              </a:solidFill>
            </c:spPr>
          </c:dPt>
          <c:dPt>
            <c:idx val="3"/>
            <c:invertIfNegative val="0"/>
            <c:bubble3D val="0"/>
            <c:spPr>
              <a:solidFill>
                <a:srgbClr val="FF0000"/>
              </a:solidFill>
            </c:spPr>
          </c:dPt>
          <c:dPt>
            <c:idx val="4"/>
            <c:invertIfNegative val="0"/>
            <c:bubble3D val="0"/>
            <c:spPr>
              <a:solidFill>
                <a:srgbClr val="FF0000"/>
              </a:solidFill>
            </c:spPr>
          </c:dPt>
          <c:errBars>
            <c:errBarType val="plus"/>
            <c:errValType val="cust"/>
            <c:noEndCap val="0"/>
            <c:plus>
              <c:numRef>
                <c:f>'[!L1.190208.xls]Sheet1'!$O$24:$O$28</c:f>
                <c:numCache>
                  <c:formatCode>General</c:formatCode>
                  <c:ptCount val="5"/>
                  <c:pt idx="0">
                    <c:v>0.1</c:v>
                  </c:pt>
                  <c:pt idx="1">
                    <c:v>0.1</c:v>
                  </c:pt>
                  <c:pt idx="2">
                    <c:v>0.2</c:v>
                  </c:pt>
                  <c:pt idx="3">
                    <c:v>0.28000000000000008</c:v>
                  </c:pt>
                  <c:pt idx="4">
                    <c:v>0.30000000000000032</c:v>
                  </c:pt>
                </c:numCache>
              </c:numRef>
            </c:plus>
          </c:errBars>
          <c:cat>
            <c:strRef>
              <c:f>'[!L1.190208.xls]Sheet1'!$E$30:$E$34</c:f>
              <c:strCache>
                <c:ptCount val="5"/>
                <c:pt idx="0">
                  <c:v>C.Unst.12H</c:v>
                </c:pt>
                <c:pt idx="1">
                  <c:v>0.1</c:v>
                </c:pt>
                <c:pt idx="2">
                  <c:v>0.5</c:v>
                </c:pt>
                <c:pt idx="3">
                  <c:v>1</c:v>
                </c:pt>
                <c:pt idx="4">
                  <c:v>5.0ng/ml</c:v>
                </c:pt>
              </c:strCache>
            </c:strRef>
          </c:cat>
          <c:val>
            <c:numRef>
              <c:f>'[!L1.190208.xls]Sheet1'!$F$30:$F$34</c:f>
              <c:numCache>
                <c:formatCode>General</c:formatCode>
                <c:ptCount val="5"/>
                <c:pt idx="0">
                  <c:v>1</c:v>
                </c:pt>
                <c:pt idx="1">
                  <c:v>2.1</c:v>
                </c:pt>
                <c:pt idx="2">
                  <c:v>3.3</c:v>
                </c:pt>
                <c:pt idx="3">
                  <c:v>2.4</c:v>
                </c:pt>
                <c:pt idx="4">
                  <c:v>2.5</c:v>
                </c:pt>
              </c:numCache>
            </c:numRef>
          </c:val>
        </c:ser>
        <c:dLbls>
          <c:showLegendKey val="0"/>
          <c:showVal val="0"/>
          <c:showCatName val="0"/>
          <c:showSerName val="0"/>
          <c:showPercent val="0"/>
          <c:showBubbleSize val="0"/>
        </c:dLbls>
        <c:gapWidth val="150"/>
        <c:axId val="364505344"/>
        <c:axId val="364507136"/>
      </c:barChart>
      <c:catAx>
        <c:axId val="364505344"/>
        <c:scaling>
          <c:orientation val="minMax"/>
        </c:scaling>
        <c:delete val="0"/>
        <c:axPos val="b"/>
        <c:numFmt formatCode="General" sourceLinked="1"/>
        <c:majorTickMark val="out"/>
        <c:minorTickMark val="none"/>
        <c:tickLblPos val="nextTo"/>
        <c:crossAx val="364507136"/>
        <c:crosses val="autoZero"/>
        <c:auto val="1"/>
        <c:lblAlgn val="ctr"/>
        <c:lblOffset val="100"/>
        <c:noMultiLvlLbl val="0"/>
      </c:catAx>
      <c:valAx>
        <c:axId val="364507136"/>
        <c:scaling>
          <c:orientation val="minMax"/>
        </c:scaling>
        <c:delete val="0"/>
        <c:axPos val="l"/>
        <c:title>
          <c:tx>
            <c:rich>
              <a:bodyPr rot="-5400000" vert="horz"/>
              <a:lstStyle/>
              <a:p>
                <a:pPr>
                  <a:defRPr/>
                </a:pPr>
                <a:r>
                  <a:rPr lang="en-GB"/>
                  <a:t>Re</a:t>
                </a:r>
                <a:r>
                  <a:rPr lang="en-GB" sz="1200">
                    <a:latin typeface="Times New Roman" pitchFamily="18" charset="0"/>
                    <a:cs typeface="Times New Roman" pitchFamily="18" charset="0"/>
                  </a:rPr>
                  <a:t>lative</a:t>
                </a:r>
                <a:r>
                  <a:rPr lang="en-GB" sz="1200" baseline="0">
                    <a:latin typeface="Times New Roman" pitchFamily="18" charset="0"/>
                    <a:cs typeface="Times New Roman" pitchFamily="18" charset="0"/>
                  </a:rPr>
                  <a:t>  Betaglycan  Expression</a:t>
                </a:r>
                <a:endParaRPr lang="en-GB" sz="1200">
                  <a:latin typeface="Times New Roman" pitchFamily="18" charset="0"/>
                  <a:cs typeface="Times New Roman" pitchFamily="18" charset="0"/>
                </a:endParaRPr>
              </a:p>
            </c:rich>
          </c:tx>
          <c:layout>
            <c:manualLayout>
              <c:xMode val="edge"/>
              <c:yMode val="edge"/>
              <c:x val="2.2370060333990284E-2"/>
              <c:y val="0.24562183429653558"/>
            </c:manualLayout>
          </c:layout>
          <c:overlay val="0"/>
        </c:title>
        <c:numFmt formatCode="General" sourceLinked="1"/>
        <c:majorTickMark val="out"/>
        <c:minorTickMark val="none"/>
        <c:tickLblPos val="nextTo"/>
        <c:crossAx val="364505344"/>
        <c:crosses val="autoZero"/>
        <c:crossBetween val="between"/>
      </c:valAx>
    </c:plotArea>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J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a:ea typeface="Arial"/>
                <a:cs typeface="Arial"/>
              </a:defRPr>
            </a:pPr>
            <a:r>
              <a:rPr lang="en-GB"/>
              <a:t>.</a:t>
            </a:r>
          </a:p>
        </c:rich>
      </c:tx>
      <c:layout>
        <c:manualLayout>
          <c:xMode val="edge"/>
          <c:yMode val="edge"/>
          <c:x val="0.25383000201897826"/>
          <c:y val="1.9575732995687121E-2"/>
        </c:manualLayout>
      </c:layout>
      <c:overlay val="0"/>
      <c:spPr>
        <a:noFill/>
        <a:ln w="25400">
          <a:noFill/>
        </a:ln>
      </c:spPr>
    </c:title>
    <c:autoTitleDeleted val="0"/>
    <c:plotArea>
      <c:layout>
        <c:manualLayout>
          <c:layoutTarget val="inner"/>
          <c:xMode val="edge"/>
          <c:yMode val="edge"/>
          <c:x val="8.1715963389193083E-2"/>
          <c:y val="5.6089753486696516E-2"/>
          <c:w val="0.9178690344062157"/>
          <c:h val="0.72058092738407709"/>
        </c:manualLayout>
      </c:layout>
      <c:barChart>
        <c:barDir val="col"/>
        <c:grouping val="clustered"/>
        <c:varyColors val="0"/>
        <c:ser>
          <c:idx val="0"/>
          <c:order val="0"/>
          <c:spPr>
            <a:solidFill>
              <a:srgbClr val="FF0000"/>
            </a:solidFill>
            <a:ln w="12700">
              <a:solidFill>
                <a:srgbClr val="000000"/>
              </a:solidFill>
              <a:prstDash val="solid"/>
            </a:ln>
          </c:spPr>
          <c:invertIfNegative val="0"/>
          <c:errBars>
            <c:errBarType val="plus"/>
            <c:errValType val="cust"/>
            <c:noEndCap val="0"/>
            <c:plus>
              <c:numRef>
                <c:f>Sheet1!$H$7</c:f>
                <c:numCache>
                  <c:formatCode>General</c:formatCode>
                  <c:ptCount val="1"/>
                  <c:pt idx="0">
                    <c:v>0.13526435023494923</c:v>
                  </c:pt>
                </c:numCache>
              </c:numRef>
            </c:plus>
            <c:spPr>
              <a:ln w="12700">
                <a:solidFill>
                  <a:srgbClr val="000000"/>
                </a:solidFill>
                <a:prstDash val="solid"/>
              </a:ln>
            </c:spPr>
          </c:errBars>
          <c:val>
            <c:numRef>
              <c:f>Sheet1!$F$7</c:f>
              <c:numCache>
                <c:formatCode>General</c:formatCode>
                <c:ptCount val="1"/>
                <c:pt idx="0">
                  <c:v>1</c:v>
                </c:pt>
              </c:numCache>
            </c:numRef>
          </c:val>
        </c:ser>
        <c:ser>
          <c:idx val="1"/>
          <c:order val="1"/>
          <c:spPr>
            <a:solidFill>
              <a:srgbClr val="993366"/>
            </a:solidFill>
            <a:ln w="12700">
              <a:solidFill>
                <a:srgbClr val="000000"/>
              </a:solidFill>
              <a:prstDash val="solid"/>
            </a:ln>
          </c:spPr>
          <c:invertIfNegative val="0"/>
          <c:val>
            <c:numRef>
              <c:f>Sheet1!$F$8</c:f>
              <c:numCache>
                <c:formatCode>General</c:formatCode>
                <c:ptCount val="1"/>
              </c:numCache>
            </c:numRef>
          </c:val>
        </c:ser>
        <c:ser>
          <c:idx val="2"/>
          <c:order val="2"/>
          <c:spPr>
            <a:solidFill>
              <a:srgbClr val="FFFFCC"/>
            </a:solidFill>
            <a:ln w="12700">
              <a:solidFill>
                <a:srgbClr val="000000"/>
              </a:solidFill>
              <a:prstDash val="solid"/>
            </a:ln>
          </c:spPr>
          <c:invertIfNegative val="0"/>
          <c:val>
            <c:numRef>
              <c:f>Sheet1!$F$9</c:f>
              <c:numCache>
                <c:formatCode>General</c:formatCode>
                <c:ptCount val="1"/>
              </c:numCache>
            </c:numRef>
          </c:val>
        </c:ser>
        <c:ser>
          <c:idx val="3"/>
          <c:order val="3"/>
          <c:spPr>
            <a:solidFill>
              <a:srgbClr val="0070C0"/>
            </a:solidFill>
            <a:ln w="12700">
              <a:solidFill>
                <a:srgbClr val="000000"/>
              </a:solidFill>
              <a:prstDash val="solid"/>
            </a:ln>
          </c:spPr>
          <c:invertIfNegative val="0"/>
          <c:errBars>
            <c:errBarType val="plus"/>
            <c:errValType val="cust"/>
            <c:noEndCap val="0"/>
            <c:plus>
              <c:numRef>
                <c:f>Sheet1!$H$10</c:f>
                <c:numCache>
                  <c:formatCode>General</c:formatCode>
                  <c:ptCount val="1"/>
                  <c:pt idx="0">
                    <c:v>9.3388079182251046E-2</c:v>
                  </c:pt>
                </c:numCache>
              </c:numRef>
            </c:plus>
            <c:spPr>
              <a:ln w="12700">
                <a:solidFill>
                  <a:srgbClr val="000000"/>
                </a:solidFill>
                <a:prstDash val="solid"/>
              </a:ln>
            </c:spPr>
          </c:errBars>
          <c:val>
            <c:numRef>
              <c:f>Sheet1!$F$10</c:f>
              <c:numCache>
                <c:formatCode>General</c:formatCode>
                <c:ptCount val="1"/>
                <c:pt idx="0">
                  <c:v>0.95175798030453462</c:v>
                </c:pt>
              </c:numCache>
            </c:numRef>
          </c:val>
        </c:ser>
        <c:ser>
          <c:idx val="4"/>
          <c:order val="4"/>
          <c:spPr>
            <a:solidFill>
              <a:srgbClr val="660066"/>
            </a:solidFill>
            <a:ln w="12700">
              <a:solidFill>
                <a:srgbClr val="000000"/>
              </a:solidFill>
              <a:prstDash val="solid"/>
            </a:ln>
          </c:spPr>
          <c:invertIfNegative val="0"/>
          <c:val>
            <c:numRef>
              <c:f>Sheet1!$F$11</c:f>
              <c:numCache>
                <c:formatCode>General</c:formatCode>
                <c:ptCount val="1"/>
              </c:numCache>
            </c:numRef>
          </c:val>
        </c:ser>
        <c:ser>
          <c:idx val="5"/>
          <c:order val="5"/>
          <c:spPr>
            <a:solidFill>
              <a:srgbClr val="FF8080"/>
            </a:solidFill>
            <a:ln w="12700">
              <a:solidFill>
                <a:srgbClr val="000000"/>
              </a:solidFill>
              <a:prstDash val="solid"/>
            </a:ln>
          </c:spPr>
          <c:invertIfNegative val="0"/>
          <c:val>
            <c:numRef>
              <c:f>Sheet1!$F$12</c:f>
              <c:numCache>
                <c:formatCode>General</c:formatCode>
                <c:ptCount val="1"/>
              </c:numCache>
            </c:numRef>
          </c:val>
        </c:ser>
        <c:ser>
          <c:idx val="6"/>
          <c:order val="6"/>
          <c:spPr>
            <a:solidFill>
              <a:srgbClr val="0066CC"/>
            </a:solidFill>
            <a:ln w="12700">
              <a:solidFill>
                <a:srgbClr val="000000"/>
              </a:solidFill>
              <a:prstDash val="solid"/>
            </a:ln>
          </c:spPr>
          <c:invertIfNegative val="0"/>
          <c:errBars>
            <c:errBarType val="plus"/>
            <c:errValType val="cust"/>
            <c:noEndCap val="0"/>
            <c:plus>
              <c:numRef>
                <c:f>Sheet1!$H$13</c:f>
                <c:numCache>
                  <c:formatCode>General</c:formatCode>
                  <c:ptCount val="1"/>
                  <c:pt idx="0">
                    <c:v>0.18006048366528346</c:v>
                  </c:pt>
                </c:numCache>
              </c:numRef>
            </c:plus>
            <c:spPr>
              <a:ln w="12700">
                <a:solidFill>
                  <a:srgbClr val="000000"/>
                </a:solidFill>
                <a:prstDash val="solid"/>
              </a:ln>
            </c:spPr>
          </c:errBars>
          <c:val>
            <c:numRef>
              <c:f>Sheet1!$F$13</c:f>
              <c:numCache>
                <c:formatCode>General</c:formatCode>
                <c:ptCount val="1"/>
                <c:pt idx="0">
                  <c:v>1.3575449798800041</c:v>
                </c:pt>
              </c:numCache>
            </c:numRef>
          </c:val>
        </c:ser>
        <c:ser>
          <c:idx val="7"/>
          <c:order val="7"/>
          <c:spPr>
            <a:solidFill>
              <a:srgbClr val="CCCCFF"/>
            </a:solidFill>
            <a:ln w="12700">
              <a:solidFill>
                <a:srgbClr val="000000"/>
              </a:solidFill>
              <a:prstDash val="solid"/>
            </a:ln>
          </c:spPr>
          <c:invertIfNegative val="0"/>
          <c:val>
            <c:numRef>
              <c:f>Sheet1!$F$14</c:f>
              <c:numCache>
                <c:formatCode>General</c:formatCode>
                <c:ptCount val="1"/>
              </c:numCache>
            </c:numRef>
          </c:val>
        </c:ser>
        <c:ser>
          <c:idx val="8"/>
          <c:order val="8"/>
          <c:spPr>
            <a:solidFill>
              <a:srgbClr val="000080"/>
            </a:solidFill>
            <a:ln w="12700">
              <a:solidFill>
                <a:srgbClr val="000000"/>
              </a:solidFill>
              <a:prstDash val="solid"/>
            </a:ln>
          </c:spPr>
          <c:invertIfNegative val="0"/>
          <c:val>
            <c:numRef>
              <c:f>Sheet1!$F$15</c:f>
              <c:numCache>
                <c:formatCode>General</c:formatCode>
                <c:ptCount val="1"/>
              </c:numCache>
            </c:numRef>
          </c:val>
        </c:ser>
        <c:ser>
          <c:idx val="9"/>
          <c:order val="9"/>
          <c:spPr>
            <a:solidFill>
              <a:srgbClr val="0070C0"/>
            </a:solidFill>
            <a:ln w="12700">
              <a:solidFill>
                <a:srgbClr val="000000"/>
              </a:solidFill>
              <a:prstDash val="solid"/>
            </a:ln>
          </c:spPr>
          <c:invertIfNegative val="0"/>
          <c:errBars>
            <c:errBarType val="plus"/>
            <c:errValType val="cust"/>
            <c:noEndCap val="0"/>
            <c:plus>
              <c:numRef>
                <c:f>Sheet1!$H$16</c:f>
                <c:numCache>
                  <c:formatCode>General</c:formatCode>
                  <c:ptCount val="1"/>
                  <c:pt idx="0">
                    <c:v>0.29945858552471716</c:v>
                  </c:pt>
                </c:numCache>
              </c:numRef>
            </c:plus>
            <c:spPr>
              <a:ln w="12700">
                <a:solidFill>
                  <a:srgbClr val="000000"/>
                </a:solidFill>
                <a:prstDash val="solid"/>
              </a:ln>
            </c:spPr>
          </c:errBars>
          <c:val>
            <c:numRef>
              <c:f>Sheet1!$F$16</c:f>
              <c:numCache>
                <c:formatCode>General</c:formatCode>
                <c:ptCount val="1"/>
                <c:pt idx="0">
                  <c:v>1.1908568493649687</c:v>
                </c:pt>
              </c:numCache>
            </c:numRef>
          </c:val>
        </c:ser>
        <c:ser>
          <c:idx val="10"/>
          <c:order val="10"/>
          <c:spPr>
            <a:solidFill>
              <a:srgbClr val="FFFF00"/>
            </a:solidFill>
            <a:ln w="12700">
              <a:solidFill>
                <a:srgbClr val="000000"/>
              </a:solidFill>
              <a:prstDash val="solid"/>
            </a:ln>
          </c:spPr>
          <c:invertIfNegative val="0"/>
          <c:val>
            <c:numRef>
              <c:f>Sheet1!$F$17</c:f>
              <c:numCache>
                <c:formatCode>General</c:formatCode>
                <c:ptCount val="1"/>
              </c:numCache>
            </c:numRef>
          </c:val>
        </c:ser>
        <c:ser>
          <c:idx val="11"/>
          <c:order val="11"/>
          <c:spPr>
            <a:solidFill>
              <a:srgbClr val="00FFFF"/>
            </a:solidFill>
            <a:ln w="12700">
              <a:solidFill>
                <a:srgbClr val="000000"/>
              </a:solidFill>
              <a:prstDash val="solid"/>
            </a:ln>
          </c:spPr>
          <c:invertIfNegative val="0"/>
          <c:val>
            <c:numRef>
              <c:f>Sheet1!$F$18</c:f>
              <c:numCache>
                <c:formatCode>General</c:formatCode>
                <c:ptCount val="1"/>
              </c:numCache>
            </c:numRef>
          </c:val>
        </c:ser>
        <c:ser>
          <c:idx val="12"/>
          <c:order val="12"/>
          <c:spPr>
            <a:solidFill>
              <a:srgbClr val="0070C0"/>
            </a:solidFill>
            <a:ln w="12700">
              <a:solidFill>
                <a:srgbClr val="000000"/>
              </a:solidFill>
              <a:prstDash val="solid"/>
            </a:ln>
          </c:spPr>
          <c:invertIfNegative val="0"/>
          <c:errBars>
            <c:errBarType val="plus"/>
            <c:errValType val="cust"/>
            <c:noEndCap val="0"/>
            <c:plus>
              <c:numRef>
                <c:f>Sheet1!$H$19</c:f>
                <c:numCache>
                  <c:formatCode>General</c:formatCode>
                  <c:ptCount val="1"/>
                  <c:pt idx="0">
                    <c:v>0.14564835888004893</c:v>
                  </c:pt>
                </c:numCache>
              </c:numRef>
            </c:plus>
            <c:spPr>
              <a:ln w="12700">
                <a:solidFill>
                  <a:srgbClr val="000000"/>
                </a:solidFill>
                <a:prstDash val="solid"/>
              </a:ln>
            </c:spPr>
          </c:errBars>
          <c:val>
            <c:numRef>
              <c:f>Sheet1!$F$19</c:f>
              <c:numCache>
                <c:formatCode>General</c:formatCode>
                <c:ptCount val="1"/>
                <c:pt idx="0">
                  <c:v>1.8192367879965599</c:v>
                </c:pt>
              </c:numCache>
            </c:numRef>
          </c:val>
        </c:ser>
        <c:dLbls>
          <c:showLegendKey val="0"/>
          <c:showVal val="0"/>
          <c:showCatName val="0"/>
          <c:showSerName val="0"/>
          <c:showPercent val="0"/>
          <c:showBubbleSize val="0"/>
        </c:dLbls>
        <c:gapWidth val="150"/>
        <c:axId val="377311616"/>
        <c:axId val="377313536"/>
      </c:barChart>
      <c:catAx>
        <c:axId val="377311616"/>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GB"/>
                  <a:t>C.at</a:t>
                </a:r>
                <a:r>
                  <a:rPr lang="en-GB" baseline="0"/>
                  <a:t> 12 H.</a:t>
                </a:r>
                <a:r>
                  <a:rPr lang="en-GB"/>
                  <a:t>           0.5                       1.0                         5.0                    10 ng/ml</a:t>
                </a:r>
              </a:p>
            </c:rich>
          </c:tx>
          <c:layout>
            <c:manualLayout>
              <c:xMode val="edge"/>
              <c:yMode val="edge"/>
              <c:x val="0.15217427148529541"/>
              <c:y val="0.9049615696593202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ar-JO"/>
          </a:p>
        </c:txPr>
        <c:crossAx val="377313536"/>
        <c:crosses val="autoZero"/>
        <c:auto val="1"/>
        <c:lblAlgn val="ctr"/>
        <c:lblOffset val="100"/>
        <c:tickLblSkip val="1"/>
        <c:tickMarkSkip val="1"/>
        <c:noMultiLvlLbl val="0"/>
      </c:catAx>
      <c:valAx>
        <c:axId val="377313536"/>
        <c:scaling>
          <c:orientation val="minMax"/>
        </c:scaling>
        <c:delete val="0"/>
        <c:axPos val="l"/>
        <c:majorGridlines>
          <c:spPr>
            <a:ln w="3175">
              <a:noFill/>
              <a:prstDash val="solid"/>
            </a:ln>
          </c:spPr>
        </c:majorGridlines>
        <c:title>
          <c:tx>
            <c:rich>
              <a:bodyPr/>
              <a:lstStyle/>
              <a:p>
                <a:pPr>
                  <a:defRPr sz="1000" b="1" i="0" u="none" strike="noStrike" baseline="0">
                    <a:solidFill>
                      <a:srgbClr val="000000"/>
                    </a:solidFill>
                    <a:latin typeface="Arial"/>
                    <a:ea typeface="Arial"/>
                    <a:cs typeface="Arial"/>
                  </a:defRPr>
                </a:pPr>
                <a:r>
                  <a:rPr lang="en-GB"/>
                  <a:t>RQ</a:t>
                </a:r>
              </a:p>
            </c:rich>
          </c:tx>
          <c:layout>
            <c:manualLayout>
              <c:xMode val="edge"/>
              <c:yMode val="edge"/>
              <c:x val="1.2208657047724751E-2"/>
              <c:y val="0.4763458401305056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ar-JO"/>
          </a:p>
        </c:txPr>
        <c:crossAx val="377311616"/>
        <c:crosses val="autoZero"/>
        <c:crossBetween val="between"/>
      </c:valAx>
      <c:spPr>
        <a:noFill/>
        <a:ln w="12700">
          <a:noFill/>
          <a:prstDash val="solid"/>
        </a:ln>
      </c:spPr>
    </c:plotArea>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ar-JO"/>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0.5084</cdr:x>
      <cdr:y>0.05368</cdr:y>
    </cdr:from>
    <cdr:to>
      <cdr:x>0.58683</cdr:x>
      <cdr:y>0.10338</cdr:y>
    </cdr:to>
    <cdr:sp macro="" textlink="">
      <cdr:nvSpPr>
        <cdr:cNvPr id="2" name="TextBox 1"/>
        <cdr:cNvSpPr txBox="1"/>
      </cdr:nvSpPr>
      <cdr:spPr>
        <a:xfrm xmlns:a="http://schemas.openxmlformats.org/drawingml/2006/main">
          <a:off x="2886323" y="214685"/>
          <a:ext cx="445274" cy="1987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latin typeface="Times New Roman" pitchFamily="18" charset="0"/>
              <a:cs typeface="Times New Roman" pitchFamily="18" charset="0"/>
            </a:rPr>
            <a:t>**</a:t>
          </a:r>
        </a:p>
      </cdr:txBody>
    </cdr:sp>
  </cdr:relSizeAnchor>
  <cdr:relSizeAnchor xmlns:cdr="http://schemas.openxmlformats.org/drawingml/2006/chartDrawing">
    <cdr:from>
      <cdr:x>0.70028</cdr:x>
      <cdr:y>0.22863</cdr:y>
    </cdr:from>
    <cdr:to>
      <cdr:x>0.7577</cdr:x>
      <cdr:y>0.28628</cdr:y>
    </cdr:to>
    <cdr:sp macro="" textlink="">
      <cdr:nvSpPr>
        <cdr:cNvPr id="3" name="TextBox 2"/>
        <cdr:cNvSpPr txBox="1"/>
      </cdr:nvSpPr>
      <cdr:spPr>
        <a:xfrm xmlns:a="http://schemas.openxmlformats.org/drawingml/2006/main">
          <a:off x="3975652" y="914400"/>
          <a:ext cx="326004"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latin typeface="Times New Roman" pitchFamily="18" charset="0"/>
              <a:cs typeface="Times New Roman" pitchFamily="18" charset="0"/>
            </a:rPr>
            <a:t>*</a:t>
          </a:r>
        </a:p>
      </cdr:txBody>
    </cdr:sp>
  </cdr:relSizeAnchor>
  <cdr:relSizeAnchor xmlns:cdr="http://schemas.openxmlformats.org/drawingml/2006/chartDrawing">
    <cdr:from>
      <cdr:x>0.88936</cdr:x>
      <cdr:y>0.22465</cdr:y>
    </cdr:from>
    <cdr:to>
      <cdr:x>0.93871</cdr:x>
      <cdr:y>0.31169</cdr:y>
    </cdr:to>
    <cdr:sp macro="" textlink="">
      <cdr:nvSpPr>
        <cdr:cNvPr id="4" name="TextBox 3"/>
        <cdr:cNvSpPr txBox="1"/>
      </cdr:nvSpPr>
      <cdr:spPr>
        <a:xfrm xmlns:a="http://schemas.openxmlformats.org/drawingml/2006/main">
          <a:off x="2626057" y="494292"/>
          <a:ext cx="145717" cy="1915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b="1">
              <a:latin typeface="Times New Roman" pitchFamily="18" charset="0"/>
              <a:cs typeface="Times New Roman" pitchFamily="18" charset="0"/>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0.88383</cdr:x>
      <cdr:y>0.08627</cdr:y>
    </cdr:from>
    <cdr:to>
      <cdr:x>0.96355</cdr:x>
      <cdr:y>0.17255</cdr:y>
    </cdr:to>
    <cdr:sp macro="" textlink="">
      <cdr:nvSpPr>
        <cdr:cNvPr id="2" name="مستطيل 1"/>
        <cdr:cNvSpPr/>
      </cdr:nvSpPr>
      <cdr:spPr>
        <a:xfrm xmlns:a="http://schemas.openxmlformats.org/drawingml/2006/main">
          <a:off x="3695700" y="209550"/>
          <a:ext cx="333376" cy="209550"/>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a:t>*</a:t>
          </a:r>
        </a:p>
      </cdr:txBody>
    </cdr:sp>
  </cdr:relSizeAnchor>
</c:userShape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281F3-3380-46F2-A616-8196918AB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28</Pages>
  <Words>9936</Words>
  <Characters>51671</Characters>
  <Application>Microsoft Office Word</Application>
  <DocSecurity>0</DocSecurity>
  <Lines>939</Lines>
  <Paragraphs>400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Alhelfawi</dc:creator>
  <cp:lastModifiedBy>Nassar</cp:lastModifiedBy>
  <cp:revision>11</cp:revision>
  <dcterms:created xsi:type="dcterms:W3CDTF">2018-12-09T01:03:00Z</dcterms:created>
  <dcterms:modified xsi:type="dcterms:W3CDTF">2018-12-12T21:37:00Z</dcterms:modified>
</cp:coreProperties>
</file>